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tulo20"/>
        <w:spacing w:before="0" w:after="0"/>
        <w:ind w:right="2846"/>
        <w:rPr>
          <w:rFonts w:cs="Arial"/>
          <w:b/>
          <w:sz w:val="20"/>
          <w:szCs w:val="20"/>
        </w:rPr>
      </w:pPr>
    </w:p>
    <w:p>
      <w:pPr>
        <w:pStyle w:val="Ttulo20"/>
        <w:spacing w:before="0" w:after="0"/>
        <w:ind w:left="2121" w:right="2846"/>
        <w:rPr>
          <w:rFonts w:cs="Arial"/>
          <w:b/>
          <w:sz w:val="20"/>
          <w:szCs w:val="20"/>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Ttulo20"/>
        <w:spacing w:before="0" w:after="0"/>
        <w:ind w:left="2121" w:right="2846"/>
        <w:rPr>
          <w:rFonts w:cs="Arial"/>
          <w:b/>
          <w:sz w:val="20"/>
          <w:szCs w:val="20"/>
        </w:rPr>
      </w:pPr>
    </w:p>
    <w:p>
      <w:pPr>
        <w:pStyle w:val="Ttulo20"/>
        <w:tabs>
          <w:tab w:val="left" w:pos="7938"/>
        </w:tabs>
        <w:spacing w:before="0" w:after="0"/>
        <w:ind w:right="-2"/>
        <w:jc w:val="center"/>
        <w:rPr>
          <w:rFonts w:cs="Arial"/>
          <w:b/>
          <w:sz w:val="36"/>
          <w:szCs w:val="20"/>
        </w:rPr>
      </w:pPr>
      <w:r>
        <w:rPr>
          <w:rFonts w:cs="Arial"/>
          <w:b/>
          <w:sz w:val="36"/>
          <w:szCs w:val="20"/>
        </w:rPr>
        <w:t>COMPANHIA DE ENTREPOSTOS E ARMAZÉNS GERAIS DE SÃO PAULO - CEAGESP</w:t>
      </w:r>
    </w:p>
    <w:p>
      <w:pPr>
        <w:pStyle w:val="Ttulo20"/>
        <w:spacing w:before="0" w:after="0"/>
        <w:ind w:left="2121" w:right="2846"/>
        <w:jc w:val="center"/>
        <w:rPr>
          <w:rFonts w:cs="Arial"/>
          <w:bCs/>
          <w:sz w:val="32"/>
          <w:szCs w:val="20"/>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Corpodetexto"/>
        <w:rPr>
          <w:rFonts w:cs="Arial"/>
        </w:rPr>
      </w:pPr>
    </w:p>
    <w:p>
      <w:pPr>
        <w:pStyle w:val="Ttulo20"/>
        <w:tabs>
          <w:tab w:val="left" w:pos="7938"/>
        </w:tabs>
        <w:spacing w:before="0" w:after="240"/>
        <w:jc w:val="center"/>
        <w:rPr>
          <w:rFonts w:cs="Arial"/>
          <w:bCs/>
          <w:szCs w:val="20"/>
        </w:rPr>
      </w:pPr>
      <w:r>
        <w:rPr>
          <w:rFonts w:cs="Arial"/>
          <w:bCs/>
          <w:szCs w:val="20"/>
        </w:rPr>
        <w:t>DEMONSTRAÇÕES CONTÁBEIS INTERMEDIÁRIAS</w:t>
      </w:r>
    </w:p>
    <w:p>
      <w:pPr>
        <w:pStyle w:val="Ttulo20"/>
        <w:spacing w:before="0" w:after="240"/>
        <w:jc w:val="center"/>
        <w:rPr>
          <w:rFonts w:cs="Arial"/>
        </w:rPr>
        <w:sectPr>
          <w:headerReference w:type="default" r:id="rId8"/>
          <w:footerReference w:type="even" r:id="rId9"/>
          <w:footerReference w:type="default" r:id="rId10"/>
          <w:headerReference w:type="first" r:id="rId11"/>
          <w:footnotePr>
            <w:pos w:val="beneathText"/>
          </w:footnotePr>
          <w:pgSz w:w="11905" w:h="16837"/>
          <w:pgMar w:top="1276" w:right="1134" w:bottom="1134" w:left="1134" w:header="720" w:footer="454" w:gutter="0"/>
          <w:cols w:space="720"/>
          <w:docGrid w:linePitch="360"/>
        </w:sectPr>
      </w:pPr>
      <w:r>
        <w:rPr>
          <w:rFonts w:cs="Arial"/>
        </w:rPr>
        <w:t>1º Trimestre/2020</w:t>
      </w:r>
    </w:p>
    <w:p>
      <w:pPr>
        <w:rPr>
          <w:rFonts w:cs="Arial"/>
          <w:szCs w:val="24"/>
        </w:rPr>
      </w:pPr>
    </w:p>
    <w:sdt>
      <w:sdtPr>
        <w:rPr>
          <w:rFonts w:ascii="Arial" w:eastAsia="Lucida Sans Unicode" w:hAnsi="Arial" w:cs="Times New Roman"/>
          <w:color w:val="auto"/>
          <w:sz w:val="22"/>
          <w:szCs w:val="20"/>
          <w:lang w:eastAsia="ar-SA"/>
        </w:rPr>
        <w:id w:val="1619876356"/>
        <w:docPartObj>
          <w:docPartGallery w:val="Table of Contents"/>
          <w:docPartUnique/>
        </w:docPartObj>
      </w:sdtPr>
      <w:sdtEndPr>
        <w:rPr>
          <w:b/>
          <w:bCs/>
        </w:rPr>
      </w:sdtEndPr>
      <w:sdtContent>
        <w:p>
          <w:pPr>
            <w:pStyle w:val="CabealhodoSumrio"/>
          </w:pPr>
          <w:r>
            <w:t>Sumário</w:t>
          </w:r>
        </w:p>
        <w:p>
          <w:pPr>
            <w:pStyle w:val="Sumrio2"/>
            <w:tabs>
              <w:tab w:val="right" w:leader="dot" w:pos="9627"/>
            </w:tabs>
            <w:rPr>
              <w:rFonts w:cstheme="minorBidi"/>
              <w:noProof/>
            </w:rPr>
          </w:pPr>
          <w:r>
            <w:fldChar w:fldCharType="begin"/>
          </w:r>
          <w:r>
            <w:instrText xml:space="preserve"> TOC \o "1-3" \h \z \u </w:instrText>
          </w:r>
          <w:r>
            <w:fldChar w:fldCharType="separate"/>
          </w:r>
          <w:hyperlink w:anchor="_Toc41376080" w:history="1">
            <w:r>
              <w:rPr>
                <w:rStyle w:val="Hyperlink"/>
                <w:noProof/>
              </w:rPr>
              <w:t>BALANÇO PATRIMONIAL</w:t>
            </w:r>
            <w:r>
              <w:rPr>
                <w:noProof/>
                <w:webHidden/>
              </w:rPr>
              <w:tab/>
            </w:r>
            <w:r>
              <w:rPr>
                <w:noProof/>
                <w:webHidden/>
              </w:rPr>
              <w:fldChar w:fldCharType="begin"/>
            </w:r>
            <w:r>
              <w:rPr>
                <w:noProof/>
                <w:webHidden/>
              </w:rPr>
              <w:instrText xml:space="preserve"> PAGEREF _Toc41376080 \h </w:instrText>
            </w:r>
            <w:r>
              <w:rPr>
                <w:noProof/>
                <w:webHidden/>
              </w:rPr>
            </w:r>
            <w:r>
              <w:rPr>
                <w:noProof/>
                <w:webHidden/>
              </w:rPr>
              <w:fldChar w:fldCharType="separate"/>
            </w:r>
            <w:r>
              <w:rPr>
                <w:noProof/>
                <w:webHidden/>
              </w:rPr>
              <w:t>5</w:t>
            </w:r>
            <w:r>
              <w:rPr>
                <w:noProof/>
                <w:webHidden/>
              </w:rPr>
              <w:fldChar w:fldCharType="end"/>
            </w:r>
          </w:hyperlink>
        </w:p>
        <w:p>
          <w:pPr>
            <w:pStyle w:val="Sumrio2"/>
            <w:tabs>
              <w:tab w:val="right" w:leader="dot" w:pos="9627"/>
            </w:tabs>
            <w:rPr>
              <w:rFonts w:cstheme="minorBidi"/>
              <w:noProof/>
            </w:rPr>
          </w:pPr>
          <w:hyperlink w:anchor="_Toc41376081" w:history="1">
            <w:r>
              <w:rPr>
                <w:rStyle w:val="Hyperlink"/>
                <w:noProof/>
              </w:rPr>
              <w:t>DEMONSTRAÇÃO DO RESULTADO</w:t>
            </w:r>
            <w:r>
              <w:rPr>
                <w:noProof/>
                <w:webHidden/>
              </w:rPr>
              <w:tab/>
            </w:r>
            <w:r>
              <w:rPr>
                <w:noProof/>
                <w:webHidden/>
              </w:rPr>
              <w:fldChar w:fldCharType="begin"/>
            </w:r>
            <w:r>
              <w:rPr>
                <w:noProof/>
                <w:webHidden/>
              </w:rPr>
              <w:instrText xml:space="preserve"> PAGEREF _Toc41376081 \h </w:instrText>
            </w:r>
            <w:r>
              <w:rPr>
                <w:noProof/>
                <w:webHidden/>
              </w:rPr>
            </w:r>
            <w:r>
              <w:rPr>
                <w:noProof/>
                <w:webHidden/>
              </w:rPr>
              <w:fldChar w:fldCharType="separate"/>
            </w:r>
            <w:r>
              <w:rPr>
                <w:noProof/>
                <w:webHidden/>
              </w:rPr>
              <w:t>6</w:t>
            </w:r>
            <w:r>
              <w:rPr>
                <w:noProof/>
                <w:webHidden/>
              </w:rPr>
              <w:fldChar w:fldCharType="end"/>
            </w:r>
          </w:hyperlink>
        </w:p>
        <w:p>
          <w:pPr>
            <w:pStyle w:val="Sumrio2"/>
            <w:tabs>
              <w:tab w:val="right" w:leader="dot" w:pos="9627"/>
            </w:tabs>
            <w:rPr>
              <w:rFonts w:cstheme="minorBidi"/>
              <w:noProof/>
            </w:rPr>
          </w:pPr>
          <w:hyperlink w:anchor="_Toc41376082" w:history="1">
            <w:r>
              <w:rPr>
                <w:rStyle w:val="Hyperlink"/>
                <w:noProof/>
              </w:rPr>
              <w:t>DEMONSTRAÇÃO DO RESULTADO ABRANGENTE</w:t>
            </w:r>
            <w:r>
              <w:rPr>
                <w:noProof/>
                <w:webHidden/>
              </w:rPr>
              <w:tab/>
            </w:r>
            <w:r>
              <w:rPr>
                <w:noProof/>
                <w:webHidden/>
              </w:rPr>
              <w:fldChar w:fldCharType="begin"/>
            </w:r>
            <w:r>
              <w:rPr>
                <w:noProof/>
                <w:webHidden/>
              </w:rPr>
              <w:instrText xml:space="preserve"> PAGEREF _Toc41376082 \h </w:instrText>
            </w:r>
            <w:r>
              <w:rPr>
                <w:noProof/>
                <w:webHidden/>
              </w:rPr>
            </w:r>
            <w:r>
              <w:rPr>
                <w:noProof/>
                <w:webHidden/>
              </w:rPr>
              <w:fldChar w:fldCharType="separate"/>
            </w:r>
            <w:r>
              <w:rPr>
                <w:noProof/>
                <w:webHidden/>
              </w:rPr>
              <w:t>7</w:t>
            </w:r>
            <w:r>
              <w:rPr>
                <w:noProof/>
                <w:webHidden/>
              </w:rPr>
              <w:fldChar w:fldCharType="end"/>
            </w:r>
          </w:hyperlink>
        </w:p>
        <w:p>
          <w:pPr>
            <w:pStyle w:val="Sumrio2"/>
            <w:tabs>
              <w:tab w:val="right" w:leader="dot" w:pos="9627"/>
            </w:tabs>
            <w:rPr>
              <w:rFonts w:cstheme="minorBidi"/>
              <w:noProof/>
            </w:rPr>
          </w:pPr>
          <w:hyperlink w:anchor="_Toc41376083" w:history="1">
            <w:r>
              <w:rPr>
                <w:rStyle w:val="Hyperlink"/>
                <w:noProof/>
              </w:rPr>
              <w:t>DEMONSTRAÇÃO DAS MUTAÇÕES DO PATRIMÔNIO LÍQUIDO</w:t>
            </w:r>
            <w:r>
              <w:rPr>
                <w:noProof/>
                <w:webHidden/>
              </w:rPr>
              <w:tab/>
            </w:r>
            <w:r>
              <w:rPr>
                <w:noProof/>
                <w:webHidden/>
              </w:rPr>
              <w:fldChar w:fldCharType="begin"/>
            </w:r>
            <w:r>
              <w:rPr>
                <w:noProof/>
                <w:webHidden/>
              </w:rPr>
              <w:instrText xml:space="preserve"> PAGEREF _Toc41376083 \h </w:instrText>
            </w:r>
            <w:r>
              <w:rPr>
                <w:noProof/>
                <w:webHidden/>
              </w:rPr>
            </w:r>
            <w:r>
              <w:rPr>
                <w:noProof/>
                <w:webHidden/>
              </w:rPr>
              <w:fldChar w:fldCharType="separate"/>
            </w:r>
            <w:r>
              <w:rPr>
                <w:noProof/>
                <w:webHidden/>
              </w:rPr>
              <w:t>8</w:t>
            </w:r>
            <w:r>
              <w:rPr>
                <w:noProof/>
                <w:webHidden/>
              </w:rPr>
              <w:fldChar w:fldCharType="end"/>
            </w:r>
          </w:hyperlink>
        </w:p>
        <w:p>
          <w:pPr>
            <w:pStyle w:val="Sumrio2"/>
            <w:tabs>
              <w:tab w:val="right" w:leader="dot" w:pos="9627"/>
            </w:tabs>
            <w:rPr>
              <w:rFonts w:cstheme="minorBidi"/>
              <w:noProof/>
            </w:rPr>
          </w:pPr>
          <w:hyperlink w:anchor="_Toc41376084" w:history="1">
            <w:r>
              <w:rPr>
                <w:rStyle w:val="Hyperlink"/>
                <w:noProof/>
              </w:rPr>
              <w:t>DEMONSTRAÇÃO DO FLUXO DE CAIXA MÉTODO INDIRETO</w:t>
            </w:r>
            <w:r>
              <w:rPr>
                <w:noProof/>
                <w:webHidden/>
              </w:rPr>
              <w:tab/>
            </w:r>
            <w:r>
              <w:rPr>
                <w:noProof/>
                <w:webHidden/>
              </w:rPr>
              <w:fldChar w:fldCharType="begin"/>
            </w:r>
            <w:r>
              <w:rPr>
                <w:noProof/>
                <w:webHidden/>
              </w:rPr>
              <w:instrText xml:space="preserve"> PAGEREF _Toc41376084 \h </w:instrText>
            </w:r>
            <w:r>
              <w:rPr>
                <w:noProof/>
                <w:webHidden/>
              </w:rPr>
            </w:r>
            <w:r>
              <w:rPr>
                <w:noProof/>
                <w:webHidden/>
              </w:rPr>
              <w:fldChar w:fldCharType="separate"/>
            </w:r>
            <w:r>
              <w:rPr>
                <w:noProof/>
                <w:webHidden/>
              </w:rPr>
              <w:t>9</w:t>
            </w:r>
            <w:r>
              <w:rPr>
                <w:noProof/>
                <w:webHidden/>
              </w:rPr>
              <w:fldChar w:fldCharType="end"/>
            </w:r>
          </w:hyperlink>
        </w:p>
        <w:p>
          <w:pPr>
            <w:pStyle w:val="Sumrio1"/>
            <w:rPr>
              <w:rFonts w:eastAsiaTheme="minorEastAsia" w:cstheme="minorBidi"/>
              <w:szCs w:val="22"/>
              <w:lang w:eastAsia="pt-BR"/>
            </w:rPr>
          </w:pPr>
          <w:hyperlink w:anchor="_Toc41376085" w:history="1">
            <w:r>
              <w:rPr>
                <w:rStyle w:val="Hyperlink"/>
                <w:rFonts w:cs="Arial"/>
              </w:rPr>
              <w:t>NOTAS EXPLICATIVAS ÀS DEMONSTRAÇÕES CONTÁBEIS INTERMEDIÁRIAS</w:t>
            </w:r>
            <w:r>
              <w:rPr>
                <w:webHidden/>
              </w:rPr>
              <w:tab/>
            </w:r>
            <w:r>
              <w:rPr>
                <w:webHidden/>
              </w:rPr>
              <w:fldChar w:fldCharType="begin"/>
            </w:r>
            <w:r>
              <w:rPr>
                <w:webHidden/>
              </w:rPr>
              <w:instrText xml:space="preserve"> PAGEREF _Toc41376085 \h </w:instrText>
            </w:r>
            <w:r>
              <w:rPr>
                <w:webHidden/>
              </w:rPr>
            </w:r>
            <w:r>
              <w:rPr>
                <w:webHidden/>
              </w:rPr>
              <w:fldChar w:fldCharType="separate"/>
            </w:r>
            <w:r>
              <w:rPr>
                <w:webHidden/>
              </w:rPr>
              <w:t>10</w:t>
            </w:r>
            <w:r>
              <w:rPr>
                <w:webHidden/>
              </w:rPr>
              <w:fldChar w:fldCharType="end"/>
            </w:r>
          </w:hyperlink>
        </w:p>
        <w:p>
          <w:pPr>
            <w:pStyle w:val="Sumrio1"/>
            <w:rPr>
              <w:rFonts w:eastAsiaTheme="minorEastAsia" w:cstheme="minorBidi"/>
              <w:szCs w:val="22"/>
              <w:lang w:eastAsia="pt-BR"/>
            </w:rPr>
          </w:pPr>
          <w:hyperlink w:anchor="_Toc41376086" w:history="1">
            <w:r>
              <w:rPr>
                <w:rStyle w:val="Hyperlink"/>
              </w:rPr>
              <w:t>1.</w:t>
            </w:r>
            <w:r>
              <w:rPr>
                <w:rFonts w:eastAsiaTheme="minorEastAsia" w:cstheme="minorBidi"/>
                <w:szCs w:val="22"/>
                <w:lang w:eastAsia="pt-BR"/>
              </w:rPr>
              <w:tab/>
            </w:r>
            <w:r>
              <w:rPr>
                <w:rStyle w:val="Hyperlink"/>
              </w:rPr>
              <w:t>OBJETO</w:t>
            </w:r>
            <w:r>
              <w:rPr>
                <w:webHidden/>
              </w:rPr>
              <w:tab/>
            </w:r>
            <w:r>
              <w:rPr>
                <w:webHidden/>
              </w:rPr>
              <w:fldChar w:fldCharType="begin"/>
            </w:r>
            <w:r>
              <w:rPr>
                <w:webHidden/>
              </w:rPr>
              <w:instrText xml:space="preserve"> PAGEREF _Toc41376086 \h </w:instrText>
            </w:r>
            <w:r>
              <w:rPr>
                <w:webHidden/>
              </w:rPr>
            </w:r>
            <w:r>
              <w:rPr>
                <w:webHidden/>
              </w:rPr>
              <w:fldChar w:fldCharType="separate"/>
            </w:r>
            <w:r>
              <w:rPr>
                <w:webHidden/>
              </w:rPr>
              <w:t>10</w:t>
            </w:r>
            <w:r>
              <w:rPr>
                <w:webHidden/>
              </w:rPr>
              <w:fldChar w:fldCharType="end"/>
            </w:r>
          </w:hyperlink>
        </w:p>
        <w:p>
          <w:pPr>
            <w:pStyle w:val="Sumrio1"/>
            <w:rPr>
              <w:rFonts w:eastAsiaTheme="minorEastAsia" w:cstheme="minorBidi"/>
              <w:szCs w:val="22"/>
              <w:lang w:eastAsia="pt-BR"/>
            </w:rPr>
          </w:pPr>
          <w:hyperlink w:anchor="_Toc41376087" w:history="1">
            <w:r>
              <w:rPr>
                <w:rStyle w:val="Hyperlink"/>
              </w:rPr>
              <w:t>2.</w:t>
            </w:r>
            <w:r>
              <w:rPr>
                <w:rFonts w:eastAsiaTheme="minorEastAsia" w:cstheme="minorBidi"/>
                <w:szCs w:val="22"/>
                <w:lang w:eastAsia="pt-BR"/>
              </w:rPr>
              <w:tab/>
            </w:r>
            <w:r>
              <w:rPr>
                <w:rStyle w:val="Hyperlink"/>
              </w:rPr>
              <w:t>BASE DE PREPARAÇÃO E APRESENTAÇÃO DAS DEMONSTRAÇÕES CONTÁBEIS</w:t>
            </w:r>
            <w:r>
              <w:rPr>
                <w:webHidden/>
              </w:rPr>
              <w:tab/>
            </w:r>
            <w:r>
              <w:rPr>
                <w:webHidden/>
              </w:rPr>
              <w:fldChar w:fldCharType="begin"/>
            </w:r>
            <w:r>
              <w:rPr>
                <w:webHidden/>
              </w:rPr>
              <w:instrText xml:space="preserve"> PAGEREF _Toc41376087 \h </w:instrText>
            </w:r>
            <w:r>
              <w:rPr>
                <w:webHidden/>
              </w:rPr>
            </w:r>
            <w:r>
              <w:rPr>
                <w:webHidden/>
              </w:rPr>
              <w:fldChar w:fldCharType="separate"/>
            </w:r>
            <w:r>
              <w:rPr>
                <w:webHidden/>
              </w:rPr>
              <w:t>10</w:t>
            </w:r>
            <w:r>
              <w:rPr>
                <w:webHidden/>
              </w:rPr>
              <w:fldChar w:fldCharType="end"/>
            </w:r>
          </w:hyperlink>
        </w:p>
        <w:p>
          <w:pPr>
            <w:pStyle w:val="Sumrio2"/>
            <w:tabs>
              <w:tab w:val="right" w:leader="dot" w:pos="9627"/>
            </w:tabs>
            <w:rPr>
              <w:rFonts w:cstheme="minorBidi"/>
              <w:noProof/>
            </w:rPr>
          </w:pPr>
          <w:hyperlink w:anchor="_Toc41376088" w:history="1">
            <w:r>
              <w:rPr>
                <w:rStyle w:val="Hyperlink"/>
                <w:noProof/>
              </w:rPr>
              <w:t>2.1. Declaração de conformidade</w:t>
            </w:r>
            <w:r>
              <w:rPr>
                <w:noProof/>
                <w:webHidden/>
              </w:rPr>
              <w:tab/>
            </w:r>
            <w:r>
              <w:rPr>
                <w:noProof/>
                <w:webHidden/>
              </w:rPr>
              <w:fldChar w:fldCharType="begin"/>
            </w:r>
            <w:r>
              <w:rPr>
                <w:noProof/>
                <w:webHidden/>
              </w:rPr>
              <w:instrText xml:space="preserve"> PAGEREF _Toc41376088 \h </w:instrText>
            </w:r>
            <w:r>
              <w:rPr>
                <w:noProof/>
                <w:webHidden/>
              </w:rPr>
            </w:r>
            <w:r>
              <w:rPr>
                <w:noProof/>
                <w:webHidden/>
              </w:rPr>
              <w:fldChar w:fldCharType="separate"/>
            </w:r>
            <w:r>
              <w:rPr>
                <w:noProof/>
                <w:webHidden/>
              </w:rPr>
              <w:t>10</w:t>
            </w:r>
            <w:r>
              <w:rPr>
                <w:noProof/>
                <w:webHidden/>
              </w:rPr>
              <w:fldChar w:fldCharType="end"/>
            </w:r>
          </w:hyperlink>
        </w:p>
        <w:p>
          <w:pPr>
            <w:pStyle w:val="Sumrio2"/>
            <w:tabs>
              <w:tab w:val="right" w:leader="dot" w:pos="9627"/>
            </w:tabs>
            <w:rPr>
              <w:rFonts w:cstheme="minorBidi"/>
              <w:noProof/>
            </w:rPr>
          </w:pPr>
          <w:hyperlink w:anchor="_Toc41376089" w:history="1">
            <w:r>
              <w:rPr>
                <w:rStyle w:val="Hyperlink"/>
                <w:noProof/>
              </w:rPr>
              <w:t>2.2.  Base de preparação e apresentação</w:t>
            </w:r>
            <w:r>
              <w:rPr>
                <w:noProof/>
                <w:webHidden/>
              </w:rPr>
              <w:tab/>
            </w:r>
            <w:r>
              <w:rPr>
                <w:noProof/>
                <w:webHidden/>
              </w:rPr>
              <w:fldChar w:fldCharType="begin"/>
            </w:r>
            <w:r>
              <w:rPr>
                <w:noProof/>
                <w:webHidden/>
              </w:rPr>
              <w:instrText xml:space="preserve"> PAGEREF _Toc41376089 \h </w:instrText>
            </w:r>
            <w:r>
              <w:rPr>
                <w:noProof/>
                <w:webHidden/>
              </w:rPr>
            </w:r>
            <w:r>
              <w:rPr>
                <w:noProof/>
                <w:webHidden/>
              </w:rPr>
              <w:fldChar w:fldCharType="separate"/>
            </w:r>
            <w:r>
              <w:rPr>
                <w:noProof/>
                <w:webHidden/>
              </w:rPr>
              <w:t>11</w:t>
            </w:r>
            <w:r>
              <w:rPr>
                <w:noProof/>
                <w:webHidden/>
              </w:rPr>
              <w:fldChar w:fldCharType="end"/>
            </w:r>
          </w:hyperlink>
        </w:p>
        <w:p>
          <w:pPr>
            <w:pStyle w:val="Sumrio2"/>
            <w:tabs>
              <w:tab w:val="right" w:leader="dot" w:pos="9627"/>
            </w:tabs>
            <w:rPr>
              <w:rFonts w:cstheme="minorBidi"/>
              <w:noProof/>
            </w:rPr>
          </w:pPr>
          <w:hyperlink w:anchor="_Toc41376090" w:history="1">
            <w:r>
              <w:rPr>
                <w:rStyle w:val="Hyperlink"/>
                <w:noProof/>
              </w:rPr>
              <w:t>2.3. Moeda funcional e de apresentação</w:t>
            </w:r>
            <w:r>
              <w:rPr>
                <w:noProof/>
                <w:webHidden/>
              </w:rPr>
              <w:tab/>
            </w:r>
            <w:r>
              <w:rPr>
                <w:noProof/>
                <w:webHidden/>
              </w:rPr>
              <w:fldChar w:fldCharType="begin"/>
            </w:r>
            <w:r>
              <w:rPr>
                <w:noProof/>
                <w:webHidden/>
              </w:rPr>
              <w:instrText xml:space="preserve"> PAGEREF _Toc41376090 \h </w:instrText>
            </w:r>
            <w:r>
              <w:rPr>
                <w:noProof/>
                <w:webHidden/>
              </w:rPr>
            </w:r>
            <w:r>
              <w:rPr>
                <w:noProof/>
                <w:webHidden/>
              </w:rPr>
              <w:fldChar w:fldCharType="separate"/>
            </w:r>
            <w:r>
              <w:rPr>
                <w:noProof/>
                <w:webHidden/>
              </w:rPr>
              <w:t>11</w:t>
            </w:r>
            <w:r>
              <w:rPr>
                <w:noProof/>
                <w:webHidden/>
              </w:rPr>
              <w:fldChar w:fldCharType="end"/>
            </w:r>
          </w:hyperlink>
        </w:p>
        <w:p>
          <w:pPr>
            <w:pStyle w:val="Sumrio1"/>
            <w:rPr>
              <w:rFonts w:eastAsiaTheme="minorEastAsia" w:cstheme="minorBidi"/>
              <w:szCs w:val="22"/>
              <w:lang w:eastAsia="pt-BR"/>
            </w:rPr>
          </w:pPr>
          <w:hyperlink w:anchor="_Toc41376091" w:history="1">
            <w:r>
              <w:rPr>
                <w:rStyle w:val="Hyperlink"/>
              </w:rPr>
              <w:t>3.</w:t>
            </w:r>
            <w:r>
              <w:rPr>
                <w:rFonts w:eastAsiaTheme="minorEastAsia" w:cstheme="minorBidi"/>
                <w:szCs w:val="22"/>
                <w:lang w:eastAsia="pt-BR"/>
              </w:rPr>
              <w:tab/>
            </w:r>
            <w:r>
              <w:rPr>
                <w:rStyle w:val="Hyperlink"/>
              </w:rPr>
              <w:t>PRINCIPAIS PRÁTICAS CONTÁBEIS</w:t>
            </w:r>
            <w:r>
              <w:rPr>
                <w:webHidden/>
              </w:rPr>
              <w:tab/>
            </w:r>
            <w:r>
              <w:rPr>
                <w:webHidden/>
              </w:rPr>
              <w:fldChar w:fldCharType="begin"/>
            </w:r>
            <w:r>
              <w:rPr>
                <w:webHidden/>
              </w:rPr>
              <w:instrText xml:space="preserve"> PAGEREF _Toc41376091 \h </w:instrText>
            </w:r>
            <w:r>
              <w:rPr>
                <w:webHidden/>
              </w:rPr>
            </w:r>
            <w:r>
              <w:rPr>
                <w:webHidden/>
              </w:rPr>
              <w:fldChar w:fldCharType="separate"/>
            </w:r>
            <w:r>
              <w:rPr>
                <w:webHidden/>
              </w:rPr>
              <w:t>11</w:t>
            </w:r>
            <w:r>
              <w:rPr>
                <w:webHidden/>
              </w:rPr>
              <w:fldChar w:fldCharType="end"/>
            </w:r>
          </w:hyperlink>
        </w:p>
        <w:p>
          <w:pPr>
            <w:pStyle w:val="Sumrio1"/>
            <w:rPr>
              <w:rFonts w:eastAsiaTheme="minorEastAsia" w:cstheme="minorBidi"/>
              <w:szCs w:val="22"/>
              <w:lang w:eastAsia="pt-BR"/>
            </w:rPr>
          </w:pPr>
          <w:hyperlink w:anchor="_Toc41376092" w:history="1">
            <w:r>
              <w:rPr>
                <w:rStyle w:val="Hyperlink"/>
              </w:rPr>
              <w:t xml:space="preserve">4. </w:t>
            </w:r>
            <w:r>
              <w:rPr>
                <w:rFonts w:eastAsiaTheme="minorEastAsia" w:cstheme="minorBidi"/>
                <w:szCs w:val="22"/>
                <w:lang w:eastAsia="pt-BR"/>
              </w:rPr>
              <w:tab/>
            </w:r>
            <w:r>
              <w:rPr>
                <w:rStyle w:val="Hyperlink"/>
              </w:rPr>
              <w:t>CAIXA E EQUIVALENTES DE CAIXA</w:t>
            </w:r>
            <w:r>
              <w:rPr>
                <w:webHidden/>
              </w:rPr>
              <w:tab/>
            </w:r>
            <w:r>
              <w:rPr>
                <w:webHidden/>
              </w:rPr>
              <w:fldChar w:fldCharType="begin"/>
            </w:r>
            <w:r>
              <w:rPr>
                <w:webHidden/>
              </w:rPr>
              <w:instrText xml:space="preserve"> PAGEREF _Toc41376092 \h </w:instrText>
            </w:r>
            <w:r>
              <w:rPr>
                <w:webHidden/>
              </w:rPr>
            </w:r>
            <w:r>
              <w:rPr>
                <w:webHidden/>
              </w:rPr>
              <w:fldChar w:fldCharType="separate"/>
            </w:r>
            <w:r>
              <w:rPr>
                <w:webHidden/>
              </w:rPr>
              <w:t>12</w:t>
            </w:r>
            <w:r>
              <w:rPr>
                <w:webHidden/>
              </w:rPr>
              <w:fldChar w:fldCharType="end"/>
            </w:r>
          </w:hyperlink>
        </w:p>
        <w:p>
          <w:pPr>
            <w:pStyle w:val="Sumrio2"/>
            <w:tabs>
              <w:tab w:val="right" w:leader="dot" w:pos="9627"/>
            </w:tabs>
            <w:rPr>
              <w:rFonts w:cstheme="minorBidi"/>
              <w:noProof/>
            </w:rPr>
          </w:pPr>
          <w:hyperlink w:anchor="_Toc41376093" w:history="1">
            <w:r>
              <w:rPr>
                <w:rStyle w:val="Hyperlink"/>
                <w:noProof/>
              </w:rPr>
              <w:t>4.1. Bancos Conta Movimento</w:t>
            </w:r>
            <w:r>
              <w:rPr>
                <w:noProof/>
                <w:webHidden/>
              </w:rPr>
              <w:tab/>
            </w:r>
            <w:r>
              <w:rPr>
                <w:noProof/>
                <w:webHidden/>
              </w:rPr>
              <w:fldChar w:fldCharType="begin"/>
            </w:r>
            <w:r>
              <w:rPr>
                <w:noProof/>
                <w:webHidden/>
              </w:rPr>
              <w:instrText xml:space="preserve"> PAGEREF _Toc41376093 \h </w:instrText>
            </w:r>
            <w:r>
              <w:rPr>
                <w:noProof/>
                <w:webHidden/>
              </w:rPr>
            </w:r>
            <w:r>
              <w:rPr>
                <w:noProof/>
                <w:webHidden/>
              </w:rPr>
              <w:fldChar w:fldCharType="separate"/>
            </w:r>
            <w:r>
              <w:rPr>
                <w:noProof/>
                <w:webHidden/>
              </w:rPr>
              <w:t>12</w:t>
            </w:r>
            <w:r>
              <w:rPr>
                <w:noProof/>
                <w:webHidden/>
              </w:rPr>
              <w:fldChar w:fldCharType="end"/>
            </w:r>
          </w:hyperlink>
        </w:p>
        <w:p>
          <w:pPr>
            <w:pStyle w:val="Sumrio2"/>
            <w:tabs>
              <w:tab w:val="right" w:leader="dot" w:pos="9627"/>
            </w:tabs>
            <w:rPr>
              <w:rFonts w:cstheme="minorBidi"/>
              <w:noProof/>
            </w:rPr>
          </w:pPr>
          <w:hyperlink w:anchor="_Toc41376094" w:history="1">
            <w:r>
              <w:rPr>
                <w:rStyle w:val="Hyperlink"/>
                <w:noProof/>
              </w:rPr>
              <w:t>4.2. Caixa</w:t>
            </w:r>
            <w:r>
              <w:rPr>
                <w:noProof/>
                <w:webHidden/>
              </w:rPr>
              <w:tab/>
            </w:r>
            <w:r>
              <w:rPr>
                <w:noProof/>
                <w:webHidden/>
              </w:rPr>
              <w:fldChar w:fldCharType="begin"/>
            </w:r>
            <w:r>
              <w:rPr>
                <w:noProof/>
                <w:webHidden/>
              </w:rPr>
              <w:instrText xml:space="preserve"> PAGEREF _Toc41376094 \h </w:instrText>
            </w:r>
            <w:r>
              <w:rPr>
                <w:noProof/>
                <w:webHidden/>
              </w:rPr>
            </w:r>
            <w:r>
              <w:rPr>
                <w:noProof/>
                <w:webHidden/>
              </w:rPr>
              <w:fldChar w:fldCharType="separate"/>
            </w:r>
            <w:r>
              <w:rPr>
                <w:noProof/>
                <w:webHidden/>
              </w:rPr>
              <w:t>12</w:t>
            </w:r>
            <w:r>
              <w:rPr>
                <w:noProof/>
                <w:webHidden/>
              </w:rPr>
              <w:fldChar w:fldCharType="end"/>
            </w:r>
          </w:hyperlink>
        </w:p>
        <w:p>
          <w:pPr>
            <w:pStyle w:val="Sumrio1"/>
            <w:rPr>
              <w:rFonts w:eastAsiaTheme="minorEastAsia" w:cstheme="minorBidi"/>
              <w:szCs w:val="22"/>
              <w:lang w:eastAsia="pt-BR"/>
            </w:rPr>
          </w:pPr>
          <w:hyperlink w:anchor="_Toc41376095" w:history="1">
            <w:r>
              <w:rPr>
                <w:rStyle w:val="Hyperlink"/>
              </w:rPr>
              <w:t xml:space="preserve">5. </w:t>
            </w:r>
            <w:r>
              <w:rPr>
                <w:rFonts w:eastAsiaTheme="minorEastAsia" w:cstheme="minorBidi"/>
                <w:szCs w:val="22"/>
                <w:lang w:eastAsia="pt-BR"/>
              </w:rPr>
              <w:tab/>
            </w:r>
            <w:r>
              <w:rPr>
                <w:rStyle w:val="Hyperlink"/>
              </w:rPr>
              <w:t>CLIENTES</w:t>
            </w:r>
            <w:r>
              <w:rPr>
                <w:webHidden/>
              </w:rPr>
              <w:tab/>
            </w:r>
            <w:r>
              <w:rPr>
                <w:webHidden/>
              </w:rPr>
              <w:fldChar w:fldCharType="begin"/>
            </w:r>
            <w:r>
              <w:rPr>
                <w:webHidden/>
              </w:rPr>
              <w:instrText xml:space="preserve"> PAGEREF _Toc41376095 \h </w:instrText>
            </w:r>
            <w:r>
              <w:rPr>
                <w:webHidden/>
              </w:rPr>
            </w:r>
            <w:r>
              <w:rPr>
                <w:webHidden/>
              </w:rPr>
              <w:fldChar w:fldCharType="separate"/>
            </w:r>
            <w:r>
              <w:rPr>
                <w:webHidden/>
              </w:rPr>
              <w:t>12</w:t>
            </w:r>
            <w:r>
              <w:rPr>
                <w:webHidden/>
              </w:rPr>
              <w:fldChar w:fldCharType="end"/>
            </w:r>
          </w:hyperlink>
        </w:p>
        <w:p>
          <w:pPr>
            <w:pStyle w:val="Sumrio2"/>
            <w:tabs>
              <w:tab w:val="right" w:leader="dot" w:pos="9627"/>
            </w:tabs>
            <w:rPr>
              <w:rFonts w:cstheme="minorBidi"/>
              <w:noProof/>
            </w:rPr>
          </w:pPr>
          <w:hyperlink w:anchor="_Toc41376096" w:history="1">
            <w:r>
              <w:rPr>
                <w:rStyle w:val="Hyperlink"/>
                <w:noProof/>
              </w:rPr>
              <w:t>5.1. Contas a Receber – Entrepostagem</w:t>
            </w:r>
            <w:r>
              <w:rPr>
                <w:noProof/>
                <w:webHidden/>
              </w:rPr>
              <w:tab/>
            </w:r>
            <w:r>
              <w:rPr>
                <w:noProof/>
                <w:webHidden/>
              </w:rPr>
              <w:fldChar w:fldCharType="begin"/>
            </w:r>
            <w:r>
              <w:rPr>
                <w:noProof/>
                <w:webHidden/>
              </w:rPr>
              <w:instrText xml:space="preserve"> PAGEREF _Toc41376096 \h </w:instrText>
            </w:r>
            <w:r>
              <w:rPr>
                <w:noProof/>
                <w:webHidden/>
              </w:rPr>
            </w:r>
            <w:r>
              <w:rPr>
                <w:noProof/>
                <w:webHidden/>
              </w:rPr>
              <w:fldChar w:fldCharType="separate"/>
            </w:r>
            <w:r>
              <w:rPr>
                <w:noProof/>
                <w:webHidden/>
              </w:rPr>
              <w:t>12</w:t>
            </w:r>
            <w:r>
              <w:rPr>
                <w:noProof/>
                <w:webHidden/>
              </w:rPr>
              <w:fldChar w:fldCharType="end"/>
            </w:r>
          </w:hyperlink>
        </w:p>
        <w:p>
          <w:pPr>
            <w:pStyle w:val="Sumrio2"/>
            <w:tabs>
              <w:tab w:val="right" w:leader="dot" w:pos="9627"/>
            </w:tabs>
            <w:rPr>
              <w:rFonts w:cstheme="minorBidi"/>
              <w:noProof/>
            </w:rPr>
          </w:pPr>
          <w:hyperlink w:anchor="_Toc41376097" w:history="1">
            <w:r>
              <w:rPr>
                <w:rStyle w:val="Hyperlink"/>
                <w:noProof/>
              </w:rPr>
              <w:t>5.2. Contas a Receber – Armazenagem</w:t>
            </w:r>
            <w:r>
              <w:rPr>
                <w:noProof/>
                <w:webHidden/>
              </w:rPr>
              <w:tab/>
            </w:r>
            <w:r>
              <w:rPr>
                <w:noProof/>
                <w:webHidden/>
              </w:rPr>
              <w:fldChar w:fldCharType="begin"/>
            </w:r>
            <w:r>
              <w:rPr>
                <w:noProof/>
                <w:webHidden/>
              </w:rPr>
              <w:instrText xml:space="preserve"> PAGEREF _Toc41376097 \h </w:instrText>
            </w:r>
            <w:r>
              <w:rPr>
                <w:noProof/>
                <w:webHidden/>
              </w:rPr>
            </w:r>
            <w:r>
              <w:rPr>
                <w:noProof/>
                <w:webHidden/>
              </w:rPr>
              <w:fldChar w:fldCharType="separate"/>
            </w:r>
            <w:r>
              <w:rPr>
                <w:noProof/>
                <w:webHidden/>
              </w:rPr>
              <w:t>12</w:t>
            </w:r>
            <w:r>
              <w:rPr>
                <w:noProof/>
                <w:webHidden/>
              </w:rPr>
              <w:fldChar w:fldCharType="end"/>
            </w:r>
          </w:hyperlink>
        </w:p>
        <w:p>
          <w:pPr>
            <w:pStyle w:val="Sumrio2"/>
            <w:tabs>
              <w:tab w:val="right" w:leader="dot" w:pos="9627"/>
            </w:tabs>
            <w:rPr>
              <w:rFonts w:cstheme="minorBidi"/>
              <w:noProof/>
            </w:rPr>
          </w:pPr>
          <w:hyperlink w:anchor="_Toc41376098" w:history="1">
            <w:r>
              <w:rPr>
                <w:rStyle w:val="Hyperlink"/>
                <w:noProof/>
              </w:rPr>
              <w:t>5.3. Valores em Cobrança</w:t>
            </w:r>
            <w:r>
              <w:rPr>
                <w:noProof/>
                <w:webHidden/>
              </w:rPr>
              <w:tab/>
            </w:r>
            <w:r>
              <w:rPr>
                <w:noProof/>
                <w:webHidden/>
              </w:rPr>
              <w:fldChar w:fldCharType="begin"/>
            </w:r>
            <w:r>
              <w:rPr>
                <w:noProof/>
                <w:webHidden/>
              </w:rPr>
              <w:instrText xml:space="preserve"> PAGEREF _Toc41376098 \h </w:instrText>
            </w:r>
            <w:r>
              <w:rPr>
                <w:noProof/>
                <w:webHidden/>
              </w:rPr>
            </w:r>
            <w:r>
              <w:rPr>
                <w:noProof/>
                <w:webHidden/>
              </w:rPr>
              <w:fldChar w:fldCharType="separate"/>
            </w:r>
            <w:r>
              <w:rPr>
                <w:noProof/>
                <w:webHidden/>
              </w:rPr>
              <w:t>12</w:t>
            </w:r>
            <w:r>
              <w:rPr>
                <w:noProof/>
                <w:webHidden/>
              </w:rPr>
              <w:fldChar w:fldCharType="end"/>
            </w:r>
          </w:hyperlink>
        </w:p>
        <w:p>
          <w:pPr>
            <w:pStyle w:val="Sumrio2"/>
            <w:tabs>
              <w:tab w:val="right" w:leader="dot" w:pos="9627"/>
            </w:tabs>
            <w:rPr>
              <w:rFonts w:cstheme="minorBidi"/>
              <w:noProof/>
            </w:rPr>
          </w:pPr>
          <w:hyperlink w:anchor="_Toc41376099" w:history="1">
            <w:r>
              <w:rPr>
                <w:rStyle w:val="Hyperlink"/>
                <w:noProof/>
              </w:rPr>
              <w:t>5.4. Perdas Estimadas em Créditos de Liquidação Duvidosa</w:t>
            </w:r>
            <w:r>
              <w:rPr>
                <w:noProof/>
                <w:webHidden/>
              </w:rPr>
              <w:tab/>
            </w:r>
            <w:r>
              <w:rPr>
                <w:noProof/>
                <w:webHidden/>
              </w:rPr>
              <w:fldChar w:fldCharType="begin"/>
            </w:r>
            <w:r>
              <w:rPr>
                <w:noProof/>
                <w:webHidden/>
              </w:rPr>
              <w:instrText xml:space="preserve"> PAGEREF _Toc41376099 \h </w:instrText>
            </w:r>
            <w:r>
              <w:rPr>
                <w:noProof/>
                <w:webHidden/>
              </w:rPr>
            </w:r>
            <w:r>
              <w:rPr>
                <w:noProof/>
                <w:webHidden/>
              </w:rPr>
              <w:fldChar w:fldCharType="separate"/>
            </w:r>
            <w:r>
              <w:rPr>
                <w:noProof/>
                <w:webHidden/>
              </w:rPr>
              <w:t>12</w:t>
            </w:r>
            <w:r>
              <w:rPr>
                <w:noProof/>
                <w:webHidden/>
              </w:rPr>
              <w:fldChar w:fldCharType="end"/>
            </w:r>
          </w:hyperlink>
        </w:p>
        <w:p>
          <w:pPr>
            <w:pStyle w:val="Sumrio1"/>
            <w:rPr>
              <w:rFonts w:eastAsiaTheme="minorEastAsia" w:cstheme="minorBidi"/>
              <w:szCs w:val="22"/>
              <w:lang w:eastAsia="pt-BR"/>
            </w:rPr>
          </w:pPr>
          <w:hyperlink w:anchor="_Toc41376100" w:history="1">
            <w:r>
              <w:rPr>
                <w:rStyle w:val="Hyperlink"/>
              </w:rPr>
              <w:t>6.</w:t>
            </w:r>
            <w:r>
              <w:rPr>
                <w:rFonts w:eastAsiaTheme="minorEastAsia" w:cstheme="minorBidi"/>
                <w:szCs w:val="22"/>
                <w:lang w:eastAsia="pt-BR"/>
              </w:rPr>
              <w:tab/>
            </w:r>
            <w:r>
              <w:rPr>
                <w:rStyle w:val="Hyperlink"/>
              </w:rPr>
              <w:t>IMPOSTOS A RECUPERAR / COMPENSAR</w:t>
            </w:r>
            <w:r>
              <w:rPr>
                <w:webHidden/>
              </w:rPr>
              <w:tab/>
            </w:r>
            <w:r>
              <w:rPr>
                <w:webHidden/>
              </w:rPr>
              <w:fldChar w:fldCharType="begin"/>
            </w:r>
            <w:r>
              <w:rPr>
                <w:webHidden/>
              </w:rPr>
              <w:instrText xml:space="preserve"> PAGEREF _Toc41376100 \h </w:instrText>
            </w:r>
            <w:r>
              <w:rPr>
                <w:webHidden/>
              </w:rPr>
            </w:r>
            <w:r>
              <w:rPr>
                <w:webHidden/>
              </w:rPr>
              <w:fldChar w:fldCharType="separate"/>
            </w:r>
            <w:r>
              <w:rPr>
                <w:webHidden/>
              </w:rPr>
              <w:t>13</w:t>
            </w:r>
            <w:r>
              <w:rPr>
                <w:webHidden/>
              </w:rPr>
              <w:fldChar w:fldCharType="end"/>
            </w:r>
          </w:hyperlink>
        </w:p>
        <w:p>
          <w:pPr>
            <w:pStyle w:val="Sumrio1"/>
            <w:rPr>
              <w:rFonts w:eastAsiaTheme="minorEastAsia" w:cstheme="minorBidi"/>
              <w:szCs w:val="22"/>
              <w:lang w:eastAsia="pt-BR"/>
            </w:rPr>
          </w:pPr>
          <w:hyperlink w:anchor="_Toc41376101" w:history="1">
            <w:r>
              <w:rPr>
                <w:rStyle w:val="Hyperlink"/>
              </w:rPr>
              <w:t>7.</w:t>
            </w:r>
            <w:r>
              <w:rPr>
                <w:rFonts w:eastAsiaTheme="minorEastAsia" w:cstheme="minorBidi"/>
                <w:szCs w:val="22"/>
                <w:lang w:eastAsia="pt-BR"/>
              </w:rPr>
              <w:tab/>
            </w:r>
            <w:r>
              <w:rPr>
                <w:rStyle w:val="Hyperlink"/>
              </w:rPr>
              <w:t>ESTOQUES</w:t>
            </w:r>
            <w:r>
              <w:rPr>
                <w:webHidden/>
              </w:rPr>
              <w:tab/>
            </w:r>
            <w:r>
              <w:rPr>
                <w:webHidden/>
              </w:rPr>
              <w:fldChar w:fldCharType="begin"/>
            </w:r>
            <w:r>
              <w:rPr>
                <w:webHidden/>
              </w:rPr>
              <w:instrText xml:space="preserve"> PAGEREF _Toc41376101 \h </w:instrText>
            </w:r>
            <w:r>
              <w:rPr>
                <w:webHidden/>
              </w:rPr>
            </w:r>
            <w:r>
              <w:rPr>
                <w:webHidden/>
              </w:rPr>
              <w:fldChar w:fldCharType="separate"/>
            </w:r>
            <w:r>
              <w:rPr>
                <w:webHidden/>
              </w:rPr>
              <w:t>13</w:t>
            </w:r>
            <w:r>
              <w:rPr>
                <w:webHidden/>
              </w:rPr>
              <w:fldChar w:fldCharType="end"/>
            </w:r>
          </w:hyperlink>
        </w:p>
        <w:p>
          <w:pPr>
            <w:pStyle w:val="Sumrio1"/>
            <w:rPr>
              <w:rFonts w:eastAsiaTheme="minorEastAsia" w:cstheme="minorBidi"/>
              <w:szCs w:val="22"/>
              <w:lang w:eastAsia="pt-BR"/>
            </w:rPr>
          </w:pPr>
          <w:hyperlink w:anchor="_Toc41376102" w:history="1">
            <w:r>
              <w:rPr>
                <w:rStyle w:val="Hyperlink"/>
              </w:rPr>
              <w:t>8.</w:t>
            </w:r>
            <w:r>
              <w:rPr>
                <w:rFonts w:eastAsiaTheme="minorEastAsia" w:cstheme="minorBidi"/>
                <w:szCs w:val="22"/>
                <w:lang w:eastAsia="pt-BR"/>
              </w:rPr>
              <w:tab/>
            </w:r>
            <w:r>
              <w:rPr>
                <w:rStyle w:val="Hyperlink"/>
              </w:rPr>
              <w:t>OUTROS VALORES</w:t>
            </w:r>
            <w:r>
              <w:rPr>
                <w:webHidden/>
              </w:rPr>
              <w:tab/>
            </w:r>
            <w:r>
              <w:rPr>
                <w:webHidden/>
              </w:rPr>
              <w:fldChar w:fldCharType="begin"/>
            </w:r>
            <w:r>
              <w:rPr>
                <w:webHidden/>
              </w:rPr>
              <w:instrText xml:space="preserve"> PAGEREF _Toc41376102 \h </w:instrText>
            </w:r>
            <w:r>
              <w:rPr>
                <w:webHidden/>
              </w:rPr>
            </w:r>
            <w:r>
              <w:rPr>
                <w:webHidden/>
              </w:rPr>
              <w:fldChar w:fldCharType="separate"/>
            </w:r>
            <w:r>
              <w:rPr>
                <w:webHidden/>
              </w:rPr>
              <w:t>13</w:t>
            </w:r>
            <w:r>
              <w:rPr>
                <w:webHidden/>
              </w:rPr>
              <w:fldChar w:fldCharType="end"/>
            </w:r>
          </w:hyperlink>
        </w:p>
        <w:p>
          <w:pPr>
            <w:pStyle w:val="Sumrio2"/>
            <w:tabs>
              <w:tab w:val="right" w:leader="dot" w:pos="9627"/>
            </w:tabs>
            <w:rPr>
              <w:rFonts w:cstheme="minorBidi"/>
              <w:noProof/>
            </w:rPr>
          </w:pPr>
          <w:hyperlink w:anchor="_Toc41376103" w:history="1">
            <w:r>
              <w:rPr>
                <w:rStyle w:val="Hyperlink"/>
                <w:noProof/>
              </w:rPr>
              <w:t>8.1. Adiantamentos a Funcionários</w:t>
            </w:r>
            <w:r>
              <w:rPr>
                <w:noProof/>
                <w:webHidden/>
              </w:rPr>
              <w:tab/>
            </w:r>
            <w:r>
              <w:rPr>
                <w:noProof/>
                <w:webHidden/>
              </w:rPr>
              <w:fldChar w:fldCharType="begin"/>
            </w:r>
            <w:r>
              <w:rPr>
                <w:noProof/>
                <w:webHidden/>
              </w:rPr>
              <w:instrText xml:space="preserve"> PAGEREF _Toc41376103 \h </w:instrText>
            </w:r>
            <w:r>
              <w:rPr>
                <w:noProof/>
                <w:webHidden/>
              </w:rPr>
            </w:r>
            <w:r>
              <w:rPr>
                <w:noProof/>
                <w:webHidden/>
              </w:rPr>
              <w:fldChar w:fldCharType="separate"/>
            </w:r>
            <w:r>
              <w:rPr>
                <w:noProof/>
                <w:webHidden/>
              </w:rPr>
              <w:t>13</w:t>
            </w:r>
            <w:r>
              <w:rPr>
                <w:noProof/>
                <w:webHidden/>
              </w:rPr>
              <w:fldChar w:fldCharType="end"/>
            </w:r>
          </w:hyperlink>
        </w:p>
        <w:p>
          <w:pPr>
            <w:pStyle w:val="Sumrio2"/>
            <w:tabs>
              <w:tab w:val="right" w:leader="dot" w:pos="9627"/>
            </w:tabs>
            <w:rPr>
              <w:rFonts w:cstheme="minorBidi"/>
              <w:noProof/>
            </w:rPr>
          </w:pPr>
          <w:hyperlink w:anchor="_Toc41376104" w:history="1">
            <w:r>
              <w:rPr>
                <w:rStyle w:val="Hyperlink"/>
                <w:noProof/>
              </w:rPr>
              <w:t>8.2. Outros Créditos</w:t>
            </w:r>
            <w:r>
              <w:rPr>
                <w:noProof/>
                <w:webHidden/>
              </w:rPr>
              <w:tab/>
            </w:r>
            <w:r>
              <w:rPr>
                <w:noProof/>
                <w:webHidden/>
              </w:rPr>
              <w:fldChar w:fldCharType="begin"/>
            </w:r>
            <w:r>
              <w:rPr>
                <w:noProof/>
                <w:webHidden/>
              </w:rPr>
              <w:instrText xml:space="preserve"> PAGEREF _Toc41376104 \h </w:instrText>
            </w:r>
            <w:r>
              <w:rPr>
                <w:noProof/>
                <w:webHidden/>
              </w:rPr>
            </w:r>
            <w:r>
              <w:rPr>
                <w:noProof/>
                <w:webHidden/>
              </w:rPr>
              <w:fldChar w:fldCharType="separate"/>
            </w:r>
            <w:r>
              <w:rPr>
                <w:noProof/>
                <w:webHidden/>
              </w:rPr>
              <w:t>13</w:t>
            </w:r>
            <w:r>
              <w:rPr>
                <w:noProof/>
                <w:webHidden/>
              </w:rPr>
              <w:fldChar w:fldCharType="end"/>
            </w:r>
          </w:hyperlink>
        </w:p>
        <w:p>
          <w:pPr>
            <w:pStyle w:val="Sumrio2"/>
            <w:tabs>
              <w:tab w:val="right" w:leader="dot" w:pos="9627"/>
            </w:tabs>
            <w:rPr>
              <w:rFonts w:cstheme="minorBidi"/>
              <w:noProof/>
            </w:rPr>
          </w:pPr>
          <w:hyperlink w:anchor="_Toc41376105" w:history="1">
            <w:r>
              <w:rPr>
                <w:rStyle w:val="Hyperlink"/>
                <w:noProof/>
              </w:rPr>
              <w:t>8.3. Cauções para Garantias Diversas</w:t>
            </w:r>
            <w:r>
              <w:rPr>
                <w:noProof/>
                <w:webHidden/>
              </w:rPr>
              <w:tab/>
            </w:r>
            <w:r>
              <w:rPr>
                <w:noProof/>
                <w:webHidden/>
              </w:rPr>
              <w:fldChar w:fldCharType="begin"/>
            </w:r>
            <w:r>
              <w:rPr>
                <w:noProof/>
                <w:webHidden/>
              </w:rPr>
              <w:instrText xml:space="preserve"> PAGEREF _Toc41376105 \h </w:instrText>
            </w:r>
            <w:r>
              <w:rPr>
                <w:noProof/>
                <w:webHidden/>
              </w:rPr>
            </w:r>
            <w:r>
              <w:rPr>
                <w:noProof/>
                <w:webHidden/>
              </w:rPr>
              <w:fldChar w:fldCharType="separate"/>
            </w:r>
            <w:r>
              <w:rPr>
                <w:noProof/>
                <w:webHidden/>
              </w:rPr>
              <w:t>14</w:t>
            </w:r>
            <w:r>
              <w:rPr>
                <w:noProof/>
                <w:webHidden/>
              </w:rPr>
              <w:fldChar w:fldCharType="end"/>
            </w:r>
          </w:hyperlink>
        </w:p>
        <w:p>
          <w:pPr>
            <w:pStyle w:val="Sumrio1"/>
            <w:rPr>
              <w:rFonts w:eastAsiaTheme="minorEastAsia" w:cstheme="minorBidi"/>
              <w:szCs w:val="22"/>
              <w:lang w:eastAsia="pt-BR"/>
            </w:rPr>
          </w:pPr>
          <w:hyperlink w:anchor="_Toc41376106" w:history="1">
            <w:r>
              <w:rPr>
                <w:rStyle w:val="Hyperlink"/>
              </w:rPr>
              <w:t>9. DESPESAS ANTECIPADAS</w:t>
            </w:r>
            <w:r>
              <w:rPr>
                <w:webHidden/>
              </w:rPr>
              <w:tab/>
            </w:r>
            <w:r>
              <w:rPr>
                <w:webHidden/>
              </w:rPr>
              <w:fldChar w:fldCharType="begin"/>
            </w:r>
            <w:r>
              <w:rPr>
                <w:webHidden/>
              </w:rPr>
              <w:instrText xml:space="preserve"> PAGEREF _Toc41376106 \h </w:instrText>
            </w:r>
            <w:r>
              <w:rPr>
                <w:webHidden/>
              </w:rPr>
            </w:r>
            <w:r>
              <w:rPr>
                <w:webHidden/>
              </w:rPr>
              <w:fldChar w:fldCharType="separate"/>
            </w:r>
            <w:r>
              <w:rPr>
                <w:webHidden/>
              </w:rPr>
              <w:t>14</w:t>
            </w:r>
            <w:r>
              <w:rPr>
                <w:webHidden/>
              </w:rPr>
              <w:fldChar w:fldCharType="end"/>
            </w:r>
          </w:hyperlink>
        </w:p>
        <w:p>
          <w:pPr>
            <w:pStyle w:val="Sumrio2"/>
            <w:tabs>
              <w:tab w:val="right" w:leader="dot" w:pos="9627"/>
            </w:tabs>
            <w:rPr>
              <w:rFonts w:cstheme="minorBidi"/>
              <w:noProof/>
            </w:rPr>
          </w:pPr>
          <w:hyperlink w:anchor="_Toc41376107" w:history="1">
            <w:r>
              <w:rPr>
                <w:rStyle w:val="Hyperlink"/>
                <w:noProof/>
              </w:rPr>
              <w:t>9.1. Gastos Gerais Antecipados</w:t>
            </w:r>
            <w:r>
              <w:rPr>
                <w:noProof/>
                <w:webHidden/>
              </w:rPr>
              <w:tab/>
            </w:r>
            <w:r>
              <w:rPr>
                <w:noProof/>
                <w:webHidden/>
              </w:rPr>
              <w:fldChar w:fldCharType="begin"/>
            </w:r>
            <w:r>
              <w:rPr>
                <w:noProof/>
                <w:webHidden/>
              </w:rPr>
              <w:instrText xml:space="preserve"> PAGEREF _Toc41376107 \h </w:instrText>
            </w:r>
            <w:r>
              <w:rPr>
                <w:noProof/>
                <w:webHidden/>
              </w:rPr>
            </w:r>
            <w:r>
              <w:rPr>
                <w:noProof/>
                <w:webHidden/>
              </w:rPr>
              <w:fldChar w:fldCharType="separate"/>
            </w:r>
            <w:r>
              <w:rPr>
                <w:noProof/>
                <w:webHidden/>
              </w:rPr>
              <w:t>14</w:t>
            </w:r>
            <w:r>
              <w:rPr>
                <w:noProof/>
                <w:webHidden/>
              </w:rPr>
              <w:fldChar w:fldCharType="end"/>
            </w:r>
          </w:hyperlink>
        </w:p>
        <w:p>
          <w:pPr>
            <w:pStyle w:val="Sumrio2"/>
            <w:tabs>
              <w:tab w:val="right" w:leader="dot" w:pos="9627"/>
            </w:tabs>
            <w:rPr>
              <w:rFonts w:cstheme="minorBidi"/>
              <w:noProof/>
            </w:rPr>
          </w:pPr>
          <w:hyperlink w:anchor="_Toc41376108" w:history="1">
            <w:r>
              <w:rPr>
                <w:rStyle w:val="Hyperlink"/>
                <w:noProof/>
              </w:rPr>
              <w:t>9.2. Prêmios de Seguros a Vencer</w:t>
            </w:r>
            <w:r>
              <w:rPr>
                <w:noProof/>
                <w:webHidden/>
              </w:rPr>
              <w:tab/>
            </w:r>
            <w:r>
              <w:rPr>
                <w:noProof/>
                <w:webHidden/>
              </w:rPr>
              <w:fldChar w:fldCharType="begin"/>
            </w:r>
            <w:r>
              <w:rPr>
                <w:noProof/>
                <w:webHidden/>
              </w:rPr>
              <w:instrText xml:space="preserve"> PAGEREF _Toc41376108 \h </w:instrText>
            </w:r>
            <w:r>
              <w:rPr>
                <w:noProof/>
                <w:webHidden/>
              </w:rPr>
            </w:r>
            <w:r>
              <w:rPr>
                <w:noProof/>
                <w:webHidden/>
              </w:rPr>
              <w:fldChar w:fldCharType="separate"/>
            </w:r>
            <w:r>
              <w:rPr>
                <w:noProof/>
                <w:webHidden/>
              </w:rPr>
              <w:t>14</w:t>
            </w:r>
            <w:r>
              <w:rPr>
                <w:noProof/>
                <w:webHidden/>
              </w:rPr>
              <w:fldChar w:fldCharType="end"/>
            </w:r>
          </w:hyperlink>
        </w:p>
        <w:p>
          <w:pPr>
            <w:pStyle w:val="Sumrio1"/>
            <w:rPr>
              <w:rFonts w:eastAsiaTheme="minorEastAsia" w:cstheme="minorBidi"/>
              <w:szCs w:val="22"/>
              <w:lang w:eastAsia="pt-BR"/>
            </w:rPr>
          </w:pPr>
          <w:hyperlink w:anchor="_Toc41376109" w:history="1">
            <w:r>
              <w:rPr>
                <w:rStyle w:val="Hyperlink"/>
              </w:rPr>
              <w:t>10.</w:t>
            </w:r>
            <w:r>
              <w:rPr>
                <w:rFonts w:eastAsiaTheme="minorEastAsia" w:cstheme="minorBidi"/>
                <w:szCs w:val="22"/>
                <w:lang w:eastAsia="pt-BR"/>
              </w:rPr>
              <w:tab/>
            </w:r>
            <w:r>
              <w:rPr>
                <w:rStyle w:val="Hyperlink"/>
              </w:rPr>
              <w:t>DEPÓSITOS JUDICIAIS - LONGO PRAZO</w:t>
            </w:r>
            <w:r>
              <w:rPr>
                <w:webHidden/>
              </w:rPr>
              <w:tab/>
            </w:r>
            <w:r>
              <w:rPr>
                <w:webHidden/>
              </w:rPr>
              <w:fldChar w:fldCharType="begin"/>
            </w:r>
            <w:r>
              <w:rPr>
                <w:webHidden/>
              </w:rPr>
              <w:instrText xml:space="preserve"> PAGEREF _Toc41376109 \h </w:instrText>
            </w:r>
            <w:r>
              <w:rPr>
                <w:webHidden/>
              </w:rPr>
            </w:r>
            <w:r>
              <w:rPr>
                <w:webHidden/>
              </w:rPr>
              <w:fldChar w:fldCharType="separate"/>
            </w:r>
            <w:r>
              <w:rPr>
                <w:webHidden/>
              </w:rPr>
              <w:t>14</w:t>
            </w:r>
            <w:r>
              <w:rPr>
                <w:webHidden/>
              </w:rPr>
              <w:fldChar w:fldCharType="end"/>
            </w:r>
          </w:hyperlink>
        </w:p>
        <w:p>
          <w:pPr>
            <w:pStyle w:val="Sumrio2"/>
            <w:tabs>
              <w:tab w:val="right" w:leader="dot" w:pos="9627"/>
            </w:tabs>
            <w:rPr>
              <w:rFonts w:cstheme="minorBidi"/>
              <w:noProof/>
            </w:rPr>
          </w:pPr>
          <w:hyperlink w:anchor="_Toc41376110" w:history="1">
            <w:r>
              <w:rPr>
                <w:rStyle w:val="Hyperlink"/>
                <w:noProof/>
              </w:rPr>
              <w:t>10.1. Causas Trabalhistas – Governo do Estado de São Paulo</w:t>
            </w:r>
            <w:r>
              <w:rPr>
                <w:noProof/>
                <w:webHidden/>
              </w:rPr>
              <w:tab/>
            </w:r>
            <w:r>
              <w:rPr>
                <w:noProof/>
                <w:webHidden/>
              </w:rPr>
              <w:fldChar w:fldCharType="begin"/>
            </w:r>
            <w:r>
              <w:rPr>
                <w:noProof/>
                <w:webHidden/>
              </w:rPr>
              <w:instrText xml:space="preserve"> PAGEREF _Toc41376110 \h </w:instrText>
            </w:r>
            <w:r>
              <w:rPr>
                <w:noProof/>
                <w:webHidden/>
              </w:rPr>
            </w:r>
            <w:r>
              <w:rPr>
                <w:noProof/>
                <w:webHidden/>
              </w:rPr>
              <w:fldChar w:fldCharType="separate"/>
            </w:r>
            <w:r>
              <w:rPr>
                <w:noProof/>
                <w:webHidden/>
              </w:rPr>
              <w:t>14</w:t>
            </w:r>
            <w:r>
              <w:rPr>
                <w:noProof/>
                <w:webHidden/>
              </w:rPr>
              <w:fldChar w:fldCharType="end"/>
            </w:r>
          </w:hyperlink>
        </w:p>
        <w:p>
          <w:pPr>
            <w:pStyle w:val="Sumrio2"/>
            <w:tabs>
              <w:tab w:val="right" w:leader="dot" w:pos="9627"/>
            </w:tabs>
            <w:rPr>
              <w:rFonts w:cstheme="minorBidi"/>
              <w:noProof/>
            </w:rPr>
          </w:pPr>
          <w:hyperlink w:anchor="_Toc41376111" w:history="1">
            <w:r>
              <w:rPr>
                <w:rStyle w:val="Hyperlink"/>
                <w:noProof/>
              </w:rPr>
              <w:t>10.2. Causas Trabalhistas – Terceiros</w:t>
            </w:r>
            <w:r>
              <w:rPr>
                <w:noProof/>
                <w:webHidden/>
              </w:rPr>
              <w:tab/>
            </w:r>
            <w:r>
              <w:rPr>
                <w:noProof/>
                <w:webHidden/>
              </w:rPr>
              <w:fldChar w:fldCharType="begin"/>
            </w:r>
            <w:r>
              <w:rPr>
                <w:noProof/>
                <w:webHidden/>
              </w:rPr>
              <w:instrText xml:space="preserve"> PAGEREF _Toc41376111 \h </w:instrText>
            </w:r>
            <w:r>
              <w:rPr>
                <w:noProof/>
                <w:webHidden/>
              </w:rPr>
            </w:r>
            <w:r>
              <w:rPr>
                <w:noProof/>
                <w:webHidden/>
              </w:rPr>
              <w:fldChar w:fldCharType="separate"/>
            </w:r>
            <w:r>
              <w:rPr>
                <w:noProof/>
                <w:webHidden/>
              </w:rPr>
              <w:t>14</w:t>
            </w:r>
            <w:r>
              <w:rPr>
                <w:noProof/>
                <w:webHidden/>
              </w:rPr>
              <w:fldChar w:fldCharType="end"/>
            </w:r>
          </w:hyperlink>
        </w:p>
        <w:p>
          <w:pPr>
            <w:pStyle w:val="Sumrio2"/>
            <w:tabs>
              <w:tab w:val="right" w:leader="dot" w:pos="9627"/>
            </w:tabs>
            <w:rPr>
              <w:rFonts w:cstheme="minorBidi"/>
              <w:noProof/>
            </w:rPr>
          </w:pPr>
          <w:hyperlink w:anchor="_Toc41376112" w:history="1">
            <w:r>
              <w:rPr>
                <w:rStyle w:val="Hyperlink"/>
                <w:noProof/>
              </w:rPr>
              <w:t>10.3. Causas Trabalhistas – Ceagesp</w:t>
            </w:r>
            <w:r>
              <w:rPr>
                <w:noProof/>
                <w:webHidden/>
              </w:rPr>
              <w:tab/>
            </w:r>
            <w:r>
              <w:rPr>
                <w:noProof/>
                <w:webHidden/>
              </w:rPr>
              <w:fldChar w:fldCharType="begin"/>
            </w:r>
            <w:r>
              <w:rPr>
                <w:noProof/>
                <w:webHidden/>
              </w:rPr>
              <w:instrText xml:space="preserve"> PAGEREF _Toc41376112 \h </w:instrText>
            </w:r>
            <w:r>
              <w:rPr>
                <w:noProof/>
                <w:webHidden/>
              </w:rPr>
            </w:r>
            <w:r>
              <w:rPr>
                <w:noProof/>
                <w:webHidden/>
              </w:rPr>
              <w:fldChar w:fldCharType="separate"/>
            </w:r>
            <w:r>
              <w:rPr>
                <w:noProof/>
                <w:webHidden/>
              </w:rPr>
              <w:t>14</w:t>
            </w:r>
            <w:r>
              <w:rPr>
                <w:noProof/>
                <w:webHidden/>
              </w:rPr>
              <w:fldChar w:fldCharType="end"/>
            </w:r>
          </w:hyperlink>
        </w:p>
        <w:p>
          <w:pPr>
            <w:pStyle w:val="Sumrio2"/>
            <w:tabs>
              <w:tab w:val="right" w:leader="dot" w:pos="9627"/>
            </w:tabs>
            <w:rPr>
              <w:rFonts w:cstheme="minorBidi"/>
              <w:noProof/>
            </w:rPr>
          </w:pPr>
          <w:hyperlink w:anchor="_Toc41376113" w:history="1">
            <w:r>
              <w:rPr>
                <w:rStyle w:val="Hyperlink"/>
                <w:noProof/>
              </w:rPr>
              <w:t>10.4. Causas Diversas – Cíveis</w:t>
            </w:r>
            <w:r>
              <w:rPr>
                <w:noProof/>
                <w:webHidden/>
              </w:rPr>
              <w:tab/>
            </w:r>
            <w:r>
              <w:rPr>
                <w:noProof/>
                <w:webHidden/>
              </w:rPr>
              <w:fldChar w:fldCharType="begin"/>
            </w:r>
            <w:r>
              <w:rPr>
                <w:noProof/>
                <w:webHidden/>
              </w:rPr>
              <w:instrText xml:space="preserve"> PAGEREF _Toc41376113 \h </w:instrText>
            </w:r>
            <w:r>
              <w:rPr>
                <w:noProof/>
                <w:webHidden/>
              </w:rPr>
            </w:r>
            <w:r>
              <w:rPr>
                <w:noProof/>
                <w:webHidden/>
              </w:rPr>
              <w:fldChar w:fldCharType="separate"/>
            </w:r>
            <w:r>
              <w:rPr>
                <w:noProof/>
                <w:webHidden/>
              </w:rPr>
              <w:t>14</w:t>
            </w:r>
            <w:r>
              <w:rPr>
                <w:noProof/>
                <w:webHidden/>
              </w:rPr>
              <w:fldChar w:fldCharType="end"/>
            </w:r>
          </w:hyperlink>
        </w:p>
        <w:p>
          <w:pPr>
            <w:pStyle w:val="Sumrio1"/>
            <w:rPr>
              <w:rFonts w:eastAsiaTheme="minorEastAsia" w:cstheme="minorBidi"/>
              <w:szCs w:val="22"/>
              <w:lang w:eastAsia="pt-BR"/>
            </w:rPr>
          </w:pPr>
          <w:hyperlink w:anchor="_Toc41376114" w:history="1">
            <w:r>
              <w:rPr>
                <w:rStyle w:val="Hyperlink"/>
              </w:rPr>
              <w:t>11.</w:t>
            </w:r>
            <w:r>
              <w:rPr>
                <w:rFonts w:eastAsiaTheme="minorEastAsia" w:cstheme="minorBidi"/>
                <w:szCs w:val="22"/>
                <w:lang w:eastAsia="pt-BR"/>
              </w:rPr>
              <w:tab/>
            </w:r>
            <w:r>
              <w:rPr>
                <w:rStyle w:val="Hyperlink"/>
              </w:rPr>
              <w:t>CAUSAS JUDICIAIS TRABALHISTAS – LONGO PRAZO</w:t>
            </w:r>
            <w:r>
              <w:rPr>
                <w:webHidden/>
              </w:rPr>
              <w:tab/>
            </w:r>
            <w:r>
              <w:rPr>
                <w:webHidden/>
              </w:rPr>
              <w:fldChar w:fldCharType="begin"/>
            </w:r>
            <w:r>
              <w:rPr>
                <w:webHidden/>
              </w:rPr>
              <w:instrText xml:space="preserve"> PAGEREF _Toc41376114 \h </w:instrText>
            </w:r>
            <w:r>
              <w:rPr>
                <w:webHidden/>
              </w:rPr>
            </w:r>
            <w:r>
              <w:rPr>
                <w:webHidden/>
              </w:rPr>
              <w:fldChar w:fldCharType="separate"/>
            </w:r>
            <w:r>
              <w:rPr>
                <w:webHidden/>
              </w:rPr>
              <w:t>15</w:t>
            </w:r>
            <w:r>
              <w:rPr>
                <w:webHidden/>
              </w:rPr>
              <w:fldChar w:fldCharType="end"/>
            </w:r>
          </w:hyperlink>
        </w:p>
        <w:p>
          <w:pPr>
            <w:pStyle w:val="Sumrio2"/>
            <w:tabs>
              <w:tab w:val="right" w:leader="dot" w:pos="9627"/>
            </w:tabs>
            <w:rPr>
              <w:rFonts w:cstheme="minorBidi"/>
              <w:noProof/>
            </w:rPr>
          </w:pPr>
          <w:hyperlink w:anchor="_Toc41376115" w:history="1">
            <w:r>
              <w:rPr>
                <w:rStyle w:val="Hyperlink"/>
                <w:noProof/>
              </w:rPr>
              <w:t>11.1. Contas a Receber do Governo do Estado de São Paulo – Processos Encerrados</w:t>
            </w:r>
            <w:r>
              <w:rPr>
                <w:noProof/>
                <w:webHidden/>
              </w:rPr>
              <w:tab/>
            </w:r>
            <w:r>
              <w:rPr>
                <w:noProof/>
                <w:webHidden/>
              </w:rPr>
              <w:fldChar w:fldCharType="begin"/>
            </w:r>
            <w:r>
              <w:rPr>
                <w:noProof/>
                <w:webHidden/>
              </w:rPr>
              <w:instrText xml:space="preserve"> PAGEREF _Toc41376115 \h </w:instrText>
            </w:r>
            <w:r>
              <w:rPr>
                <w:noProof/>
                <w:webHidden/>
              </w:rPr>
            </w:r>
            <w:r>
              <w:rPr>
                <w:noProof/>
                <w:webHidden/>
              </w:rPr>
              <w:fldChar w:fldCharType="separate"/>
            </w:r>
            <w:r>
              <w:rPr>
                <w:noProof/>
                <w:webHidden/>
              </w:rPr>
              <w:t>15</w:t>
            </w:r>
            <w:r>
              <w:rPr>
                <w:noProof/>
                <w:webHidden/>
              </w:rPr>
              <w:fldChar w:fldCharType="end"/>
            </w:r>
          </w:hyperlink>
        </w:p>
        <w:p>
          <w:pPr>
            <w:pStyle w:val="Sumrio2"/>
            <w:tabs>
              <w:tab w:val="right" w:leader="dot" w:pos="9627"/>
            </w:tabs>
            <w:rPr>
              <w:rFonts w:cstheme="minorBidi"/>
              <w:noProof/>
            </w:rPr>
          </w:pPr>
          <w:hyperlink w:anchor="_Toc41376116" w:history="1">
            <w:r>
              <w:rPr>
                <w:rStyle w:val="Hyperlink"/>
                <w:noProof/>
              </w:rPr>
              <w:t>11.2. Contas a Receber do Governo do Estado de São Paulo – Processos em Andamento</w:t>
            </w:r>
            <w:r>
              <w:rPr>
                <w:noProof/>
                <w:webHidden/>
              </w:rPr>
              <w:tab/>
            </w:r>
            <w:r>
              <w:rPr>
                <w:noProof/>
                <w:webHidden/>
              </w:rPr>
              <w:fldChar w:fldCharType="begin"/>
            </w:r>
            <w:r>
              <w:rPr>
                <w:noProof/>
                <w:webHidden/>
              </w:rPr>
              <w:instrText xml:space="preserve"> PAGEREF _Toc41376116 \h </w:instrText>
            </w:r>
            <w:r>
              <w:rPr>
                <w:noProof/>
                <w:webHidden/>
              </w:rPr>
            </w:r>
            <w:r>
              <w:rPr>
                <w:noProof/>
                <w:webHidden/>
              </w:rPr>
              <w:fldChar w:fldCharType="separate"/>
            </w:r>
            <w:r>
              <w:rPr>
                <w:noProof/>
                <w:webHidden/>
              </w:rPr>
              <w:t>15</w:t>
            </w:r>
            <w:r>
              <w:rPr>
                <w:noProof/>
                <w:webHidden/>
              </w:rPr>
              <w:fldChar w:fldCharType="end"/>
            </w:r>
          </w:hyperlink>
        </w:p>
        <w:p>
          <w:pPr>
            <w:pStyle w:val="Sumrio1"/>
            <w:rPr>
              <w:rFonts w:eastAsiaTheme="minorEastAsia" w:cstheme="minorBidi"/>
              <w:szCs w:val="22"/>
              <w:lang w:eastAsia="pt-BR"/>
            </w:rPr>
          </w:pPr>
          <w:hyperlink w:anchor="_Toc41376117" w:history="1">
            <w:r>
              <w:rPr>
                <w:rStyle w:val="Hyperlink"/>
              </w:rPr>
              <w:t>12.</w:t>
            </w:r>
            <w:r>
              <w:rPr>
                <w:rFonts w:eastAsiaTheme="minorEastAsia" w:cstheme="minorBidi"/>
                <w:szCs w:val="22"/>
                <w:lang w:eastAsia="pt-BR"/>
              </w:rPr>
              <w:tab/>
            </w:r>
            <w:r>
              <w:rPr>
                <w:rStyle w:val="Hyperlink"/>
              </w:rPr>
              <w:t>OUTROS VALORES – LONGO PRAZO</w:t>
            </w:r>
            <w:r>
              <w:rPr>
                <w:webHidden/>
              </w:rPr>
              <w:tab/>
            </w:r>
            <w:r>
              <w:rPr>
                <w:webHidden/>
              </w:rPr>
              <w:fldChar w:fldCharType="begin"/>
            </w:r>
            <w:r>
              <w:rPr>
                <w:webHidden/>
              </w:rPr>
              <w:instrText xml:space="preserve"> PAGEREF _Toc41376117 \h </w:instrText>
            </w:r>
            <w:r>
              <w:rPr>
                <w:webHidden/>
              </w:rPr>
            </w:r>
            <w:r>
              <w:rPr>
                <w:webHidden/>
              </w:rPr>
              <w:fldChar w:fldCharType="separate"/>
            </w:r>
            <w:r>
              <w:rPr>
                <w:webHidden/>
              </w:rPr>
              <w:t>15</w:t>
            </w:r>
            <w:r>
              <w:rPr>
                <w:webHidden/>
              </w:rPr>
              <w:fldChar w:fldCharType="end"/>
            </w:r>
          </w:hyperlink>
        </w:p>
        <w:p>
          <w:pPr>
            <w:pStyle w:val="Sumrio2"/>
            <w:tabs>
              <w:tab w:val="right" w:leader="dot" w:pos="9627"/>
            </w:tabs>
            <w:rPr>
              <w:rFonts w:cstheme="minorBidi"/>
              <w:noProof/>
            </w:rPr>
          </w:pPr>
          <w:hyperlink w:anchor="_Toc41376118" w:history="1">
            <w:r>
              <w:rPr>
                <w:rStyle w:val="Hyperlink"/>
                <w:noProof/>
              </w:rPr>
              <w:t>12.1. Contas a Receber Clientes e Usuários</w:t>
            </w:r>
            <w:r>
              <w:rPr>
                <w:noProof/>
                <w:webHidden/>
              </w:rPr>
              <w:tab/>
            </w:r>
            <w:r>
              <w:rPr>
                <w:noProof/>
                <w:webHidden/>
              </w:rPr>
              <w:fldChar w:fldCharType="begin"/>
            </w:r>
            <w:r>
              <w:rPr>
                <w:noProof/>
                <w:webHidden/>
              </w:rPr>
              <w:instrText xml:space="preserve"> PAGEREF _Toc41376118 \h </w:instrText>
            </w:r>
            <w:r>
              <w:rPr>
                <w:noProof/>
                <w:webHidden/>
              </w:rPr>
            </w:r>
            <w:r>
              <w:rPr>
                <w:noProof/>
                <w:webHidden/>
              </w:rPr>
              <w:fldChar w:fldCharType="separate"/>
            </w:r>
            <w:r>
              <w:rPr>
                <w:noProof/>
                <w:webHidden/>
              </w:rPr>
              <w:t>15</w:t>
            </w:r>
            <w:r>
              <w:rPr>
                <w:noProof/>
                <w:webHidden/>
              </w:rPr>
              <w:fldChar w:fldCharType="end"/>
            </w:r>
          </w:hyperlink>
        </w:p>
        <w:p>
          <w:pPr>
            <w:pStyle w:val="Sumrio2"/>
            <w:tabs>
              <w:tab w:val="right" w:leader="dot" w:pos="9627"/>
            </w:tabs>
            <w:rPr>
              <w:rFonts w:cstheme="minorBidi"/>
              <w:noProof/>
            </w:rPr>
          </w:pPr>
          <w:hyperlink w:anchor="_Toc41376119" w:history="1">
            <w:r>
              <w:rPr>
                <w:rStyle w:val="Hyperlink"/>
                <w:noProof/>
              </w:rPr>
              <w:t>12.2. Realizáveis por Venda de Imóveis</w:t>
            </w:r>
            <w:r>
              <w:rPr>
                <w:noProof/>
                <w:webHidden/>
              </w:rPr>
              <w:tab/>
            </w:r>
            <w:r>
              <w:rPr>
                <w:noProof/>
                <w:webHidden/>
              </w:rPr>
              <w:fldChar w:fldCharType="begin"/>
            </w:r>
            <w:r>
              <w:rPr>
                <w:noProof/>
                <w:webHidden/>
              </w:rPr>
              <w:instrText xml:space="preserve"> PAGEREF _Toc41376119 \h </w:instrText>
            </w:r>
            <w:r>
              <w:rPr>
                <w:noProof/>
                <w:webHidden/>
              </w:rPr>
            </w:r>
            <w:r>
              <w:rPr>
                <w:noProof/>
                <w:webHidden/>
              </w:rPr>
              <w:fldChar w:fldCharType="separate"/>
            </w:r>
            <w:r>
              <w:rPr>
                <w:noProof/>
                <w:webHidden/>
              </w:rPr>
              <w:t>15</w:t>
            </w:r>
            <w:r>
              <w:rPr>
                <w:noProof/>
                <w:webHidden/>
              </w:rPr>
              <w:fldChar w:fldCharType="end"/>
            </w:r>
          </w:hyperlink>
        </w:p>
        <w:p>
          <w:pPr>
            <w:pStyle w:val="Sumrio2"/>
            <w:tabs>
              <w:tab w:val="right" w:leader="dot" w:pos="9627"/>
            </w:tabs>
            <w:rPr>
              <w:rFonts w:cstheme="minorBidi"/>
              <w:noProof/>
            </w:rPr>
          </w:pPr>
          <w:hyperlink w:anchor="_Toc41376120" w:history="1">
            <w:r>
              <w:rPr>
                <w:rStyle w:val="Hyperlink"/>
                <w:noProof/>
              </w:rPr>
              <w:t>12.3. PECLD</w:t>
            </w:r>
            <w:r>
              <w:rPr>
                <w:noProof/>
                <w:webHidden/>
              </w:rPr>
              <w:tab/>
            </w:r>
            <w:r>
              <w:rPr>
                <w:noProof/>
                <w:webHidden/>
              </w:rPr>
              <w:fldChar w:fldCharType="begin"/>
            </w:r>
            <w:r>
              <w:rPr>
                <w:noProof/>
                <w:webHidden/>
              </w:rPr>
              <w:instrText xml:space="preserve"> PAGEREF _Toc41376120 \h </w:instrText>
            </w:r>
            <w:r>
              <w:rPr>
                <w:noProof/>
                <w:webHidden/>
              </w:rPr>
            </w:r>
            <w:r>
              <w:rPr>
                <w:noProof/>
                <w:webHidden/>
              </w:rPr>
              <w:fldChar w:fldCharType="separate"/>
            </w:r>
            <w:r>
              <w:rPr>
                <w:noProof/>
                <w:webHidden/>
              </w:rPr>
              <w:t>15</w:t>
            </w:r>
            <w:r>
              <w:rPr>
                <w:noProof/>
                <w:webHidden/>
              </w:rPr>
              <w:fldChar w:fldCharType="end"/>
            </w:r>
          </w:hyperlink>
        </w:p>
        <w:p>
          <w:pPr>
            <w:pStyle w:val="Sumrio1"/>
            <w:rPr>
              <w:rFonts w:eastAsiaTheme="minorEastAsia" w:cstheme="minorBidi"/>
              <w:szCs w:val="22"/>
              <w:lang w:eastAsia="pt-BR"/>
            </w:rPr>
          </w:pPr>
          <w:hyperlink w:anchor="_Toc41376121" w:history="1">
            <w:r>
              <w:rPr>
                <w:rStyle w:val="Hyperlink"/>
              </w:rPr>
              <w:t>13.</w:t>
            </w:r>
            <w:r>
              <w:rPr>
                <w:rFonts w:eastAsiaTheme="minorEastAsia" w:cstheme="minorBidi"/>
                <w:szCs w:val="22"/>
                <w:lang w:eastAsia="pt-BR"/>
              </w:rPr>
              <w:tab/>
            </w:r>
            <w:r>
              <w:rPr>
                <w:rStyle w:val="Hyperlink"/>
              </w:rPr>
              <w:t>INVESTIMENTOS</w:t>
            </w:r>
            <w:r>
              <w:rPr>
                <w:webHidden/>
              </w:rPr>
              <w:tab/>
            </w:r>
            <w:r>
              <w:rPr>
                <w:webHidden/>
              </w:rPr>
              <w:fldChar w:fldCharType="begin"/>
            </w:r>
            <w:r>
              <w:rPr>
                <w:webHidden/>
              </w:rPr>
              <w:instrText xml:space="preserve"> PAGEREF _Toc41376121 \h </w:instrText>
            </w:r>
            <w:r>
              <w:rPr>
                <w:webHidden/>
              </w:rPr>
            </w:r>
            <w:r>
              <w:rPr>
                <w:webHidden/>
              </w:rPr>
              <w:fldChar w:fldCharType="separate"/>
            </w:r>
            <w:r>
              <w:rPr>
                <w:webHidden/>
              </w:rPr>
              <w:t>16</w:t>
            </w:r>
            <w:r>
              <w:rPr>
                <w:webHidden/>
              </w:rPr>
              <w:fldChar w:fldCharType="end"/>
            </w:r>
          </w:hyperlink>
        </w:p>
        <w:p>
          <w:pPr>
            <w:pStyle w:val="Sumrio1"/>
            <w:rPr>
              <w:rFonts w:eastAsiaTheme="minorEastAsia" w:cstheme="minorBidi"/>
              <w:szCs w:val="22"/>
              <w:lang w:eastAsia="pt-BR"/>
            </w:rPr>
          </w:pPr>
          <w:hyperlink w:anchor="_Toc41376122" w:history="1">
            <w:r>
              <w:rPr>
                <w:rStyle w:val="Hyperlink"/>
              </w:rPr>
              <w:t>14.</w:t>
            </w:r>
            <w:r>
              <w:rPr>
                <w:rFonts w:eastAsiaTheme="minorEastAsia" w:cstheme="minorBidi"/>
                <w:szCs w:val="22"/>
                <w:lang w:eastAsia="pt-BR"/>
              </w:rPr>
              <w:tab/>
            </w:r>
            <w:r>
              <w:rPr>
                <w:rStyle w:val="Hyperlink"/>
              </w:rPr>
              <w:t>IMOBILIZADO</w:t>
            </w:r>
            <w:r>
              <w:rPr>
                <w:webHidden/>
              </w:rPr>
              <w:tab/>
            </w:r>
            <w:r>
              <w:rPr>
                <w:webHidden/>
              </w:rPr>
              <w:fldChar w:fldCharType="begin"/>
            </w:r>
            <w:r>
              <w:rPr>
                <w:webHidden/>
              </w:rPr>
              <w:instrText xml:space="preserve"> PAGEREF _Toc41376122 \h </w:instrText>
            </w:r>
            <w:r>
              <w:rPr>
                <w:webHidden/>
              </w:rPr>
            </w:r>
            <w:r>
              <w:rPr>
                <w:webHidden/>
              </w:rPr>
              <w:fldChar w:fldCharType="separate"/>
            </w:r>
            <w:r>
              <w:rPr>
                <w:webHidden/>
              </w:rPr>
              <w:t>16</w:t>
            </w:r>
            <w:r>
              <w:rPr>
                <w:webHidden/>
              </w:rPr>
              <w:fldChar w:fldCharType="end"/>
            </w:r>
          </w:hyperlink>
        </w:p>
        <w:p>
          <w:pPr>
            <w:pStyle w:val="Sumrio1"/>
            <w:rPr>
              <w:rFonts w:eastAsiaTheme="minorEastAsia" w:cstheme="minorBidi"/>
              <w:szCs w:val="22"/>
              <w:lang w:eastAsia="pt-BR"/>
            </w:rPr>
          </w:pPr>
          <w:hyperlink w:anchor="_Toc41376123" w:history="1">
            <w:r>
              <w:rPr>
                <w:rStyle w:val="Hyperlink"/>
              </w:rPr>
              <w:t>15.</w:t>
            </w:r>
            <w:r>
              <w:rPr>
                <w:rFonts w:eastAsiaTheme="minorEastAsia" w:cstheme="minorBidi"/>
                <w:szCs w:val="22"/>
                <w:lang w:eastAsia="pt-BR"/>
              </w:rPr>
              <w:tab/>
            </w:r>
            <w:r>
              <w:rPr>
                <w:rStyle w:val="Hyperlink"/>
              </w:rPr>
              <w:t>INTANGÍVEL</w:t>
            </w:r>
            <w:r>
              <w:rPr>
                <w:webHidden/>
              </w:rPr>
              <w:tab/>
            </w:r>
            <w:r>
              <w:rPr>
                <w:webHidden/>
              </w:rPr>
              <w:fldChar w:fldCharType="begin"/>
            </w:r>
            <w:r>
              <w:rPr>
                <w:webHidden/>
              </w:rPr>
              <w:instrText xml:space="preserve"> PAGEREF _Toc41376123 \h </w:instrText>
            </w:r>
            <w:r>
              <w:rPr>
                <w:webHidden/>
              </w:rPr>
            </w:r>
            <w:r>
              <w:rPr>
                <w:webHidden/>
              </w:rPr>
              <w:fldChar w:fldCharType="separate"/>
            </w:r>
            <w:r>
              <w:rPr>
                <w:webHidden/>
              </w:rPr>
              <w:t>17</w:t>
            </w:r>
            <w:r>
              <w:rPr>
                <w:webHidden/>
              </w:rPr>
              <w:fldChar w:fldCharType="end"/>
            </w:r>
          </w:hyperlink>
        </w:p>
        <w:p>
          <w:pPr>
            <w:pStyle w:val="Sumrio1"/>
            <w:rPr>
              <w:rFonts w:eastAsiaTheme="minorEastAsia" w:cstheme="minorBidi"/>
              <w:szCs w:val="22"/>
              <w:lang w:eastAsia="pt-BR"/>
            </w:rPr>
          </w:pPr>
          <w:hyperlink w:anchor="_Toc41376124" w:history="1">
            <w:r>
              <w:rPr>
                <w:rStyle w:val="Hyperlink"/>
              </w:rPr>
              <w:t>16.</w:t>
            </w:r>
            <w:r>
              <w:rPr>
                <w:rFonts w:eastAsiaTheme="minorEastAsia" w:cstheme="minorBidi"/>
                <w:szCs w:val="22"/>
                <w:lang w:eastAsia="pt-BR"/>
              </w:rPr>
              <w:tab/>
            </w:r>
            <w:r>
              <w:rPr>
                <w:rStyle w:val="Hyperlink"/>
              </w:rPr>
              <w:t>FÉRIAS E ENCARGOS A PAGAR</w:t>
            </w:r>
            <w:r>
              <w:rPr>
                <w:webHidden/>
              </w:rPr>
              <w:tab/>
            </w:r>
            <w:r>
              <w:rPr>
                <w:webHidden/>
              </w:rPr>
              <w:fldChar w:fldCharType="begin"/>
            </w:r>
            <w:r>
              <w:rPr>
                <w:webHidden/>
              </w:rPr>
              <w:instrText xml:space="preserve"> PAGEREF _Toc41376124 \h </w:instrText>
            </w:r>
            <w:r>
              <w:rPr>
                <w:webHidden/>
              </w:rPr>
            </w:r>
            <w:r>
              <w:rPr>
                <w:webHidden/>
              </w:rPr>
              <w:fldChar w:fldCharType="separate"/>
            </w:r>
            <w:r>
              <w:rPr>
                <w:webHidden/>
              </w:rPr>
              <w:t>17</w:t>
            </w:r>
            <w:r>
              <w:rPr>
                <w:webHidden/>
              </w:rPr>
              <w:fldChar w:fldCharType="end"/>
            </w:r>
          </w:hyperlink>
        </w:p>
        <w:p>
          <w:pPr>
            <w:pStyle w:val="Sumrio1"/>
            <w:rPr>
              <w:rFonts w:eastAsiaTheme="minorEastAsia" w:cstheme="minorBidi"/>
              <w:szCs w:val="22"/>
              <w:lang w:eastAsia="pt-BR"/>
            </w:rPr>
          </w:pPr>
          <w:hyperlink w:anchor="_Toc41376125" w:history="1">
            <w:r>
              <w:rPr>
                <w:rStyle w:val="Hyperlink"/>
              </w:rPr>
              <w:t>17.</w:t>
            </w:r>
            <w:r>
              <w:rPr>
                <w:rFonts w:eastAsiaTheme="minorEastAsia" w:cstheme="minorBidi"/>
                <w:szCs w:val="22"/>
                <w:lang w:eastAsia="pt-BR"/>
              </w:rPr>
              <w:tab/>
            </w:r>
            <w:r>
              <w:rPr>
                <w:rStyle w:val="Hyperlink"/>
              </w:rPr>
              <w:t>CONTRIBUIÇÕES SOCIAIS A RECOLHER</w:t>
            </w:r>
            <w:r>
              <w:rPr>
                <w:webHidden/>
              </w:rPr>
              <w:tab/>
            </w:r>
            <w:r>
              <w:rPr>
                <w:webHidden/>
              </w:rPr>
              <w:fldChar w:fldCharType="begin"/>
            </w:r>
            <w:r>
              <w:rPr>
                <w:webHidden/>
              </w:rPr>
              <w:instrText xml:space="preserve"> PAGEREF _Toc41376125 \h </w:instrText>
            </w:r>
            <w:r>
              <w:rPr>
                <w:webHidden/>
              </w:rPr>
            </w:r>
            <w:r>
              <w:rPr>
                <w:webHidden/>
              </w:rPr>
              <w:fldChar w:fldCharType="separate"/>
            </w:r>
            <w:r>
              <w:rPr>
                <w:webHidden/>
              </w:rPr>
              <w:t>18</w:t>
            </w:r>
            <w:r>
              <w:rPr>
                <w:webHidden/>
              </w:rPr>
              <w:fldChar w:fldCharType="end"/>
            </w:r>
          </w:hyperlink>
        </w:p>
        <w:p>
          <w:pPr>
            <w:pStyle w:val="Sumrio1"/>
            <w:rPr>
              <w:rFonts w:eastAsiaTheme="minorEastAsia" w:cstheme="minorBidi"/>
              <w:szCs w:val="22"/>
              <w:lang w:eastAsia="pt-BR"/>
            </w:rPr>
          </w:pPr>
          <w:hyperlink w:anchor="_Toc41376126" w:history="1">
            <w:r>
              <w:rPr>
                <w:rStyle w:val="Hyperlink"/>
              </w:rPr>
              <w:t>18.</w:t>
            </w:r>
            <w:r>
              <w:rPr>
                <w:rFonts w:eastAsiaTheme="minorEastAsia" w:cstheme="minorBidi"/>
                <w:szCs w:val="22"/>
                <w:lang w:eastAsia="pt-BR"/>
              </w:rPr>
              <w:tab/>
            </w:r>
            <w:r>
              <w:rPr>
                <w:rStyle w:val="Hyperlink"/>
              </w:rPr>
              <w:t>OBRIGAÇÕES FISCAIS A RECOLHER</w:t>
            </w:r>
            <w:r>
              <w:rPr>
                <w:webHidden/>
              </w:rPr>
              <w:tab/>
            </w:r>
            <w:r>
              <w:rPr>
                <w:webHidden/>
              </w:rPr>
              <w:fldChar w:fldCharType="begin"/>
            </w:r>
            <w:r>
              <w:rPr>
                <w:webHidden/>
              </w:rPr>
              <w:instrText xml:space="preserve"> PAGEREF _Toc41376126 \h </w:instrText>
            </w:r>
            <w:r>
              <w:rPr>
                <w:webHidden/>
              </w:rPr>
            </w:r>
            <w:r>
              <w:rPr>
                <w:webHidden/>
              </w:rPr>
              <w:fldChar w:fldCharType="separate"/>
            </w:r>
            <w:r>
              <w:rPr>
                <w:webHidden/>
              </w:rPr>
              <w:t>18</w:t>
            </w:r>
            <w:r>
              <w:rPr>
                <w:webHidden/>
              </w:rPr>
              <w:fldChar w:fldCharType="end"/>
            </w:r>
          </w:hyperlink>
        </w:p>
        <w:p>
          <w:pPr>
            <w:pStyle w:val="Sumrio2"/>
            <w:tabs>
              <w:tab w:val="right" w:leader="dot" w:pos="9627"/>
            </w:tabs>
            <w:rPr>
              <w:rFonts w:cstheme="minorBidi"/>
              <w:noProof/>
            </w:rPr>
          </w:pPr>
          <w:hyperlink w:anchor="_Toc41376127" w:history="1">
            <w:r>
              <w:rPr>
                <w:rStyle w:val="Hyperlink"/>
                <w:noProof/>
              </w:rPr>
              <w:t>18.1. Impostos e Taxas Municipais</w:t>
            </w:r>
            <w:r>
              <w:rPr>
                <w:noProof/>
                <w:webHidden/>
              </w:rPr>
              <w:tab/>
            </w:r>
            <w:r>
              <w:rPr>
                <w:noProof/>
                <w:webHidden/>
              </w:rPr>
              <w:fldChar w:fldCharType="begin"/>
            </w:r>
            <w:r>
              <w:rPr>
                <w:noProof/>
                <w:webHidden/>
              </w:rPr>
              <w:instrText xml:space="preserve"> PAGEREF _Toc41376127 \h </w:instrText>
            </w:r>
            <w:r>
              <w:rPr>
                <w:noProof/>
                <w:webHidden/>
              </w:rPr>
            </w:r>
            <w:r>
              <w:rPr>
                <w:noProof/>
                <w:webHidden/>
              </w:rPr>
              <w:fldChar w:fldCharType="separate"/>
            </w:r>
            <w:r>
              <w:rPr>
                <w:noProof/>
                <w:webHidden/>
              </w:rPr>
              <w:t>18</w:t>
            </w:r>
            <w:r>
              <w:rPr>
                <w:noProof/>
                <w:webHidden/>
              </w:rPr>
              <w:fldChar w:fldCharType="end"/>
            </w:r>
          </w:hyperlink>
        </w:p>
        <w:p>
          <w:pPr>
            <w:pStyle w:val="Sumrio2"/>
            <w:tabs>
              <w:tab w:val="right" w:leader="dot" w:pos="9627"/>
            </w:tabs>
            <w:rPr>
              <w:rFonts w:cstheme="minorBidi"/>
              <w:noProof/>
            </w:rPr>
          </w:pPr>
          <w:hyperlink w:anchor="_Toc41376128" w:history="1">
            <w:r>
              <w:rPr>
                <w:rStyle w:val="Hyperlink"/>
                <w:noProof/>
              </w:rPr>
              <w:t>18.2. Programa Parcelamento Incentivado/PMSP – PPI</w:t>
            </w:r>
            <w:r>
              <w:rPr>
                <w:noProof/>
                <w:webHidden/>
              </w:rPr>
              <w:tab/>
            </w:r>
            <w:r>
              <w:rPr>
                <w:noProof/>
                <w:webHidden/>
              </w:rPr>
              <w:fldChar w:fldCharType="begin"/>
            </w:r>
            <w:r>
              <w:rPr>
                <w:noProof/>
                <w:webHidden/>
              </w:rPr>
              <w:instrText xml:space="preserve"> PAGEREF _Toc41376128 \h </w:instrText>
            </w:r>
            <w:r>
              <w:rPr>
                <w:noProof/>
                <w:webHidden/>
              </w:rPr>
            </w:r>
            <w:r>
              <w:rPr>
                <w:noProof/>
                <w:webHidden/>
              </w:rPr>
              <w:fldChar w:fldCharType="separate"/>
            </w:r>
            <w:r>
              <w:rPr>
                <w:noProof/>
                <w:webHidden/>
              </w:rPr>
              <w:t>18</w:t>
            </w:r>
            <w:r>
              <w:rPr>
                <w:noProof/>
                <w:webHidden/>
              </w:rPr>
              <w:fldChar w:fldCharType="end"/>
            </w:r>
          </w:hyperlink>
        </w:p>
        <w:p>
          <w:pPr>
            <w:pStyle w:val="Sumrio2"/>
            <w:tabs>
              <w:tab w:val="right" w:leader="dot" w:pos="9627"/>
            </w:tabs>
            <w:rPr>
              <w:rFonts w:cstheme="minorBidi"/>
              <w:noProof/>
            </w:rPr>
          </w:pPr>
          <w:hyperlink w:anchor="_Toc41376129" w:history="1">
            <w:r>
              <w:rPr>
                <w:rStyle w:val="Hyperlink"/>
                <w:noProof/>
              </w:rPr>
              <w:t>18.3. Programa de Recuperação Fiscal – Refis</w:t>
            </w:r>
            <w:r>
              <w:rPr>
                <w:noProof/>
                <w:webHidden/>
              </w:rPr>
              <w:tab/>
            </w:r>
            <w:r>
              <w:rPr>
                <w:noProof/>
                <w:webHidden/>
              </w:rPr>
              <w:fldChar w:fldCharType="begin"/>
            </w:r>
            <w:r>
              <w:rPr>
                <w:noProof/>
                <w:webHidden/>
              </w:rPr>
              <w:instrText xml:space="preserve"> PAGEREF _Toc41376129 \h </w:instrText>
            </w:r>
            <w:r>
              <w:rPr>
                <w:noProof/>
                <w:webHidden/>
              </w:rPr>
            </w:r>
            <w:r>
              <w:rPr>
                <w:noProof/>
                <w:webHidden/>
              </w:rPr>
              <w:fldChar w:fldCharType="separate"/>
            </w:r>
            <w:r>
              <w:rPr>
                <w:noProof/>
                <w:webHidden/>
              </w:rPr>
              <w:t>18</w:t>
            </w:r>
            <w:r>
              <w:rPr>
                <w:noProof/>
                <w:webHidden/>
              </w:rPr>
              <w:fldChar w:fldCharType="end"/>
            </w:r>
          </w:hyperlink>
        </w:p>
        <w:p>
          <w:pPr>
            <w:pStyle w:val="Sumrio2"/>
            <w:tabs>
              <w:tab w:val="right" w:leader="dot" w:pos="9627"/>
            </w:tabs>
            <w:rPr>
              <w:rFonts w:cstheme="minorBidi"/>
              <w:noProof/>
            </w:rPr>
          </w:pPr>
          <w:hyperlink w:anchor="_Toc41376130" w:history="1">
            <w:r>
              <w:rPr>
                <w:rStyle w:val="Hyperlink"/>
                <w:noProof/>
              </w:rPr>
              <w:t>18.4.Taxa de Lixo</w:t>
            </w:r>
            <w:r>
              <w:rPr>
                <w:noProof/>
                <w:webHidden/>
              </w:rPr>
              <w:tab/>
            </w:r>
            <w:r>
              <w:rPr>
                <w:noProof/>
                <w:webHidden/>
              </w:rPr>
              <w:fldChar w:fldCharType="begin"/>
            </w:r>
            <w:r>
              <w:rPr>
                <w:noProof/>
                <w:webHidden/>
              </w:rPr>
              <w:instrText xml:space="preserve"> PAGEREF _Toc41376130 \h </w:instrText>
            </w:r>
            <w:r>
              <w:rPr>
                <w:noProof/>
                <w:webHidden/>
              </w:rPr>
            </w:r>
            <w:r>
              <w:rPr>
                <w:noProof/>
                <w:webHidden/>
              </w:rPr>
              <w:fldChar w:fldCharType="separate"/>
            </w:r>
            <w:r>
              <w:rPr>
                <w:noProof/>
                <w:webHidden/>
              </w:rPr>
              <w:t>19</w:t>
            </w:r>
            <w:r>
              <w:rPr>
                <w:noProof/>
                <w:webHidden/>
              </w:rPr>
              <w:fldChar w:fldCharType="end"/>
            </w:r>
          </w:hyperlink>
        </w:p>
        <w:p>
          <w:pPr>
            <w:pStyle w:val="Sumrio2"/>
            <w:tabs>
              <w:tab w:val="right" w:leader="dot" w:pos="9627"/>
            </w:tabs>
            <w:rPr>
              <w:rFonts w:cstheme="minorBidi"/>
              <w:noProof/>
            </w:rPr>
          </w:pPr>
          <w:hyperlink w:anchor="_Toc41376131" w:history="1">
            <w:r>
              <w:rPr>
                <w:rStyle w:val="Hyperlink"/>
                <w:noProof/>
              </w:rPr>
              <w:t>18.5. ICMS a Recolher</w:t>
            </w:r>
            <w:r>
              <w:rPr>
                <w:noProof/>
                <w:webHidden/>
              </w:rPr>
              <w:tab/>
            </w:r>
            <w:r>
              <w:rPr>
                <w:noProof/>
                <w:webHidden/>
              </w:rPr>
              <w:fldChar w:fldCharType="begin"/>
            </w:r>
            <w:r>
              <w:rPr>
                <w:noProof/>
                <w:webHidden/>
              </w:rPr>
              <w:instrText xml:space="preserve"> PAGEREF _Toc41376131 \h </w:instrText>
            </w:r>
            <w:r>
              <w:rPr>
                <w:noProof/>
                <w:webHidden/>
              </w:rPr>
            </w:r>
            <w:r>
              <w:rPr>
                <w:noProof/>
                <w:webHidden/>
              </w:rPr>
              <w:fldChar w:fldCharType="separate"/>
            </w:r>
            <w:r>
              <w:rPr>
                <w:noProof/>
                <w:webHidden/>
              </w:rPr>
              <w:t>19</w:t>
            </w:r>
            <w:r>
              <w:rPr>
                <w:noProof/>
                <w:webHidden/>
              </w:rPr>
              <w:fldChar w:fldCharType="end"/>
            </w:r>
          </w:hyperlink>
        </w:p>
        <w:p>
          <w:pPr>
            <w:pStyle w:val="Sumrio1"/>
            <w:rPr>
              <w:rFonts w:eastAsiaTheme="minorEastAsia" w:cstheme="minorBidi"/>
              <w:szCs w:val="22"/>
              <w:lang w:eastAsia="pt-BR"/>
            </w:rPr>
          </w:pPr>
          <w:hyperlink w:anchor="_Toc41376132" w:history="1">
            <w:r>
              <w:rPr>
                <w:rStyle w:val="Hyperlink"/>
                <w:bCs/>
              </w:rPr>
              <w:t>19.</w:t>
            </w:r>
            <w:r>
              <w:rPr>
                <w:rFonts w:eastAsiaTheme="minorEastAsia" w:cstheme="minorBidi"/>
                <w:szCs w:val="22"/>
                <w:lang w:eastAsia="pt-BR"/>
              </w:rPr>
              <w:tab/>
            </w:r>
            <w:r>
              <w:rPr>
                <w:rStyle w:val="Hyperlink"/>
              </w:rPr>
              <w:t>ENCARGOS A PAGAR</w:t>
            </w:r>
            <w:r>
              <w:rPr>
                <w:webHidden/>
              </w:rPr>
              <w:tab/>
            </w:r>
            <w:r>
              <w:rPr>
                <w:webHidden/>
              </w:rPr>
              <w:fldChar w:fldCharType="begin"/>
            </w:r>
            <w:r>
              <w:rPr>
                <w:webHidden/>
              </w:rPr>
              <w:instrText xml:space="preserve"> PAGEREF _Toc41376132 \h </w:instrText>
            </w:r>
            <w:r>
              <w:rPr>
                <w:webHidden/>
              </w:rPr>
            </w:r>
            <w:r>
              <w:rPr>
                <w:webHidden/>
              </w:rPr>
              <w:fldChar w:fldCharType="separate"/>
            </w:r>
            <w:r>
              <w:rPr>
                <w:webHidden/>
              </w:rPr>
              <w:t>19</w:t>
            </w:r>
            <w:r>
              <w:rPr>
                <w:webHidden/>
              </w:rPr>
              <w:fldChar w:fldCharType="end"/>
            </w:r>
          </w:hyperlink>
        </w:p>
        <w:p>
          <w:pPr>
            <w:pStyle w:val="Sumrio2"/>
            <w:tabs>
              <w:tab w:val="right" w:leader="dot" w:pos="9627"/>
            </w:tabs>
            <w:rPr>
              <w:rFonts w:cstheme="minorBidi"/>
              <w:noProof/>
            </w:rPr>
          </w:pPr>
          <w:hyperlink w:anchor="_Toc41376133" w:history="1">
            <w:r>
              <w:rPr>
                <w:rStyle w:val="Hyperlink"/>
                <w:noProof/>
              </w:rPr>
              <w:t>19.1. Ordenados a Pagar</w:t>
            </w:r>
            <w:r>
              <w:rPr>
                <w:noProof/>
                <w:webHidden/>
              </w:rPr>
              <w:tab/>
            </w:r>
            <w:r>
              <w:rPr>
                <w:noProof/>
                <w:webHidden/>
              </w:rPr>
              <w:fldChar w:fldCharType="begin"/>
            </w:r>
            <w:r>
              <w:rPr>
                <w:noProof/>
                <w:webHidden/>
              </w:rPr>
              <w:instrText xml:space="preserve"> PAGEREF _Toc41376133 \h </w:instrText>
            </w:r>
            <w:r>
              <w:rPr>
                <w:noProof/>
                <w:webHidden/>
              </w:rPr>
            </w:r>
            <w:r>
              <w:rPr>
                <w:noProof/>
                <w:webHidden/>
              </w:rPr>
              <w:fldChar w:fldCharType="separate"/>
            </w:r>
            <w:r>
              <w:rPr>
                <w:noProof/>
                <w:webHidden/>
              </w:rPr>
              <w:t>19</w:t>
            </w:r>
            <w:r>
              <w:rPr>
                <w:noProof/>
                <w:webHidden/>
              </w:rPr>
              <w:fldChar w:fldCharType="end"/>
            </w:r>
          </w:hyperlink>
        </w:p>
        <w:p>
          <w:pPr>
            <w:pStyle w:val="Sumrio2"/>
            <w:tabs>
              <w:tab w:val="right" w:leader="dot" w:pos="9627"/>
            </w:tabs>
            <w:rPr>
              <w:rFonts w:cstheme="minorBidi"/>
              <w:noProof/>
            </w:rPr>
          </w:pPr>
          <w:hyperlink w:anchor="_Toc41376134" w:history="1">
            <w:r>
              <w:rPr>
                <w:rStyle w:val="Hyperlink"/>
                <w:noProof/>
              </w:rPr>
              <w:t>19.2. Processos Judiciais e Trabalhistas</w:t>
            </w:r>
            <w:r>
              <w:rPr>
                <w:noProof/>
                <w:webHidden/>
              </w:rPr>
              <w:tab/>
            </w:r>
            <w:r>
              <w:rPr>
                <w:noProof/>
                <w:webHidden/>
              </w:rPr>
              <w:fldChar w:fldCharType="begin"/>
            </w:r>
            <w:r>
              <w:rPr>
                <w:noProof/>
                <w:webHidden/>
              </w:rPr>
              <w:instrText xml:space="preserve"> PAGEREF _Toc41376134 \h </w:instrText>
            </w:r>
            <w:r>
              <w:rPr>
                <w:noProof/>
                <w:webHidden/>
              </w:rPr>
            </w:r>
            <w:r>
              <w:rPr>
                <w:noProof/>
                <w:webHidden/>
              </w:rPr>
              <w:fldChar w:fldCharType="separate"/>
            </w:r>
            <w:r>
              <w:rPr>
                <w:noProof/>
                <w:webHidden/>
              </w:rPr>
              <w:t>19</w:t>
            </w:r>
            <w:r>
              <w:rPr>
                <w:noProof/>
                <w:webHidden/>
              </w:rPr>
              <w:fldChar w:fldCharType="end"/>
            </w:r>
          </w:hyperlink>
        </w:p>
        <w:p>
          <w:pPr>
            <w:pStyle w:val="Sumrio1"/>
            <w:rPr>
              <w:rFonts w:eastAsiaTheme="minorEastAsia" w:cstheme="minorBidi"/>
              <w:szCs w:val="22"/>
              <w:lang w:eastAsia="pt-BR"/>
            </w:rPr>
          </w:pPr>
          <w:hyperlink w:anchor="_Toc41376135" w:history="1">
            <w:r>
              <w:rPr>
                <w:rStyle w:val="Hyperlink"/>
              </w:rPr>
              <w:t>20.</w:t>
            </w:r>
            <w:r>
              <w:rPr>
                <w:rFonts w:eastAsiaTheme="minorEastAsia" w:cstheme="minorBidi"/>
                <w:szCs w:val="22"/>
                <w:lang w:eastAsia="pt-BR"/>
              </w:rPr>
              <w:tab/>
            </w:r>
            <w:r>
              <w:rPr>
                <w:rStyle w:val="Hyperlink"/>
              </w:rPr>
              <w:t>CONTAS A PAGAR</w:t>
            </w:r>
            <w:r>
              <w:rPr>
                <w:webHidden/>
              </w:rPr>
              <w:tab/>
            </w:r>
            <w:r>
              <w:rPr>
                <w:webHidden/>
              </w:rPr>
              <w:fldChar w:fldCharType="begin"/>
            </w:r>
            <w:r>
              <w:rPr>
                <w:webHidden/>
              </w:rPr>
              <w:instrText xml:space="preserve"> PAGEREF _Toc41376135 \h </w:instrText>
            </w:r>
            <w:r>
              <w:rPr>
                <w:webHidden/>
              </w:rPr>
            </w:r>
            <w:r>
              <w:rPr>
                <w:webHidden/>
              </w:rPr>
              <w:fldChar w:fldCharType="separate"/>
            </w:r>
            <w:r>
              <w:rPr>
                <w:webHidden/>
              </w:rPr>
              <w:t>19</w:t>
            </w:r>
            <w:r>
              <w:rPr>
                <w:webHidden/>
              </w:rPr>
              <w:fldChar w:fldCharType="end"/>
            </w:r>
          </w:hyperlink>
        </w:p>
        <w:p>
          <w:pPr>
            <w:pStyle w:val="Sumrio2"/>
            <w:tabs>
              <w:tab w:val="right" w:leader="dot" w:pos="9627"/>
            </w:tabs>
            <w:rPr>
              <w:rFonts w:cstheme="minorBidi"/>
              <w:noProof/>
            </w:rPr>
          </w:pPr>
          <w:hyperlink w:anchor="_Toc41376136" w:history="1">
            <w:r>
              <w:rPr>
                <w:rStyle w:val="Hyperlink"/>
                <w:noProof/>
              </w:rPr>
              <w:t>20.1. Convênio SEAP</w:t>
            </w:r>
            <w:r>
              <w:rPr>
                <w:noProof/>
                <w:webHidden/>
              </w:rPr>
              <w:tab/>
            </w:r>
            <w:r>
              <w:rPr>
                <w:noProof/>
                <w:webHidden/>
              </w:rPr>
              <w:fldChar w:fldCharType="begin"/>
            </w:r>
            <w:r>
              <w:rPr>
                <w:noProof/>
                <w:webHidden/>
              </w:rPr>
              <w:instrText xml:space="preserve"> PAGEREF _Toc41376136 \h </w:instrText>
            </w:r>
            <w:r>
              <w:rPr>
                <w:noProof/>
                <w:webHidden/>
              </w:rPr>
            </w:r>
            <w:r>
              <w:rPr>
                <w:noProof/>
                <w:webHidden/>
              </w:rPr>
              <w:fldChar w:fldCharType="separate"/>
            </w:r>
            <w:r>
              <w:rPr>
                <w:noProof/>
                <w:webHidden/>
              </w:rPr>
              <w:t>20</w:t>
            </w:r>
            <w:r>
              <w:rPr>
                <w:noProof/>
                <w:webHidden/>
              </w:rPr>
              <w:fldChar w:fldCharType="end"/>
            </w:r>
          </w:hyperlink>
        </w:p>
        <w:p>
          <w:pPr>
            <w:pStyle w:val="Sumrio2"/>
            <w:tabs>
              <w:tab w:val="right" w:leader="dot" w:pos="9627"/>
            </w:tabs>
            <w:rPr>
              <w:rFonts w:cstheme="minorBidi"/>
              <w:noProof/>
            </w:rPr>
          </w:pPr>
          <w:hyperlink w:anchor="_Toc41376137" w:history="1">
            <w:r>
              <w:rPr>
                <w:rStyle w:val="Hyperlink"/>
                <w:noProof/>
              </w:rPr>
              <w:t>20.2. Correntistas Credores</w:t>
            </w:r>
            <w:r>
              <w:rPr>
                <w:noProof/>
                <w:webHidden/>
              </w:rPr>
              <w:tab/>
            </w:r>
            <w:r>
              <w:rPr>
                <w:noProof/>
                <w:webHidden/>
              </w:rPr>
              <w:fldChar w:fldCharType="begin"/>
            </w:r>
            <w:r>
              <w:rPr>
                <w:noProof/>
                <w:webHidden/>
              </w:rPr>
              <w:instrText xml:space="preserve"> PAGEREF _Toc41376137 \h </w:instrText>
            </w:r>
            <w:r>
              <w:rPr>
                <w:noProof/>
                <w:webHidden/>
              </w:rPr>
            </w:r>
            <w:r>
              <w:rPr>
                <w:noProof/>
                <w:webHidden/>
              </w:rPr>
              <w:fldChar w:fldCharType="separate"/>
            </w:r>
            <w:r>
              <w:rPr>
                <w:noProof/>
                <w:webHidden/>
              </w:rPr>
              <w:t>20</w:t>
            </w:r>
            <w:r>
              <w:rPr>
                <w:noProof/>
                <w:webHidden/>
              </w:rPr>
              <w:fldChar w:fldCharType="end"/>
            </w:r>
          </w:hyperlink>
        </w:p>
        <w:p>
          <w:pPr>
            <w:pStyle w:val="Sumrio2"/>
            <w:tabs>
              <w:tab w:val="right" w:leader="dot" w:pos="9627"/>
            </w:tabs>
            <w:rPr>
              <w:rFonts w:cstheme="minorBidi"/>
              <w:noProof/>
            </w:rPr>
          </w:pPr>
          <w:hyperlink w:anchor="_Toc41376138" w:history="1">
            <w:r>
              <w:rPr>
                <w:rStyle w:val="Hyperlink"/>
                <w:noProof/>
              </w:rPr>
              <w:t>20.3. Contas a Pagar Diversos</w:t>
            </w:r>
            <w:r>
              <w:rPr>
                <w:noProof/>
                <w:webHidden/>
              </w:rPr>
              <w:tab/>
            </w:r>
            <w:r>
              <w:rPr>
                <w:noProof/>
                <w:webHidden/>
              </w:rPr>
              <w:fldChar w:fldCharType="begin"/>
            </w:r>
            <w:r>
              <w:rPr>
                <w:noProof/>
                <w:webHidden/>
              </w:rPr>
              <w:instrText xml:space="preserve"> PAGEREF _Toc41376138 \h </w:instrText>
            </w:r>
            <w:r>
              <w:rPr>
                <w:noProof/>
                <w:webHidden/>
              </w:rPr>
            </w:r>
            <w:r>
              <w:rPr>
                <w:noProof/>
                <w:webHidden/>
              </w:rPr>
              <w:fldChar w:fldCharType="separate"/>
            </w:r>
            <w:r>
              <w:rPr>
                <w:noProof/>
                <w:webHidden/>
              </w:rPr>
              <w:t>20</w:t>
            </w:r>
            <w:r>
              <w:rPr>
                <w:noProof/>
                <w:webHidden/>
              </w:rPr>
              <w:fldChar w:fldCharType="end"/>
            </w:r>
          </w:hyperlink>
        </w:p>
        <w:p>
          <w:pPr>
            <w:pStyle w:val="Sumrio2"/>
            <w:tabs>
              <w:tab w:val="right" w:leader="dot" w:pos="9627"/>
            </w:tabs>
            <w:rPr>
              <w:rFonts w:cstheme="minorBidi"/>
              <w:noProof/>
            </w:rPr>
          </w:pPr>
          <w:hyperlink w:anchor="_Toc41376139" w:history="1">
            <w:r>
              <w:rPr>
                <w:rStyle w:val="Hyperlink"/>
                <w:noProof/>
              </w:rPr>
              <w:t>20.4. Cauções e Retenções</w:t>
            </w:r>
            <w:r>
              <w:rPr>
                <w:noProof/>
                <w:webHidden/>
              </w:rPr>
              <w:tab/>
            </w:r>
            <w:r>
              <w:rPr>
                <w:noProof/>
                <w:webHidden/>
              </w:rPr>
              <w:fldChar w:fldCharType="begin"/>
            </w:r>
            <w:r>
              <w:rPr>
                <w:noProof/>
                <w:webHidden/>
              </w:rPr>
              <w:instrText xml:space="preserve"> PAGEREF _Toc41376139 \h </w:instrText>
            </w:r>
            <w:r>
              <w:rPr>
                <w:noProof/>
                <w:webHidden/>
              </w:rPr>
            </w:r>
            <w:r>
              <w:rPr>
                <w:noProof/>
                <w:webHidden/>
              </w:rPr>
              <w:fldChar w:fldCharType="separate"/>
            </w:r>
            <w:r>
              <w:rPr>
                <w:noProof/>
                <w:webHidden/>
              </w:rPr>
              <w:t>20</w:t>
            </w:r>
            <w:r>
              <w:rPr>
                <w:noProof/>
                <w:webHidden/>
              </w:rPr>
              <w:fldChar w:fldCharType="end"/>
            </w:r>
          </w:hyperlink>
        </w:p>
        <w:p>
          <w:pPr>
            <w:pStyle w:val="Sumrio1"/>
            <w:rPr>
              <w:rFonts w:eastAsiaTheme="minorEastAsia" w:cstheme="minorBidi"/>
              <w:szCs w:val="22"/>
              <w:lang w:eastAsia="pt-BR"/>
            </w:rPr>
          </w:pPr>
          <w:hyperlink w:anchor="_Toc41376140" w:history="1">
            <w:r>
              <w:rPr>
                <w:rStyle w:val="Hyperlink"/>
              </w:rPr>
              <w:t>21.</w:t>
            </w:r>
            <w:r>
              <w:rPr>
                <w:rFonts w:eastAsiaTheme="minorEastAsia" w:cstheme="minorBidi"/>
                <w:szCs w:val="22"/>
                <w:lang w:eastAsia="pt-BR"/>
              </w:rPr>
              <w:tab/>
            </w:r>
            <w:r>
              <w:rPr>
                <w:rStyle w:val="Hyperlink"/>
              </w:rPr>
              <w:t>EMPRÉSTIMOS A PAGAR</w:t>
            </w:r>
            <w:r>
              <w:rPr>
                <w:webHidden/>
              </w:rPr>
              <w:tab/>
            </w:r>
            <w:r>
              <w:rPr>
                <w:webHidden/>
              </w:rPr>
              <w:fldChar w:fldCharType="begin"/>
            </w:r>
            <w:r>
              <w:rPr>
                <w:webHidden/>
              </w:rPr>
              <w:instrText xml:space="preserve"> PAGEREF _Toc41376140 \h </w:instrText>
            </w:r>
            <w:r>
              <w:rPr>
                <w:webHidden/>
              </w:rPr>
            </w:r>
            <w:r>
              <w:rPr>
                <w:webHidden/>
              </w:rPr>
              <w:fldChar w:fldCharType="separate"/>
            </w:r>
            <w:r>
              <w:rPr>
                <w:webHidden/>
              </w:rPr>
              <w:t>20</w:t>
            </w:r>
            <w:r>
              <w:rPr>
                <w:webHidden/>
              </w:rPr>
              <w:fldChar w:fldCharType="end"/>
            </w:r>
          </w:hyperlink>
        </w:p>
        <w:p>
          <w:pPr>
            <w:pStyle w:val="Sumrio2"/>
            <w:tabs>
              <w:tab w:val="right" w:leader="dot" w:pos="9627"/>
            </w:tabs>
            <w:rPr>
              <w:rFonts w:cstheme="minorBidi"/>
              <w:noProof/>
            </w:rPr>
          </w:pPr>
          <w:hyperlink w:anchor="_Toc41376141" w:history="1">
            <w:r>
              <w:rPr>
                <w:rStyle w:val="Hyperlink"/>
                <w:noProof/>
              </w:rPr>
              <w:t>21.1. Empréstimo II</w:t>
            </w:r>
            <w:r>
              <w:rPr>
                <w:noProof/>
                <w:webHidden/>
              </w:rPr>
              <w:tab/>
            </w:r>
            <w:r>
              <w:rPr>
                <w:noProof/>
                <w:webHidden/>
              </w:rPr>
              <w:fldChar w:fldCharType="begin"/>
            </w:r>
            <w:r>
              <w:rPr>
                <w:noProof/>
                <w:webHidden/>
              </w:rPr>
              <w:instrText xml:space="preserve"> PAGEREF _Toc41376141 \h </w:instrText>
            </w:r>
            <w:r>
              <w:rPr>
                <w:noProof/>
                <w:webHidden/>
              </w:rPr>
            </w:r>
            <w:r>
              <w:rPr>
                <w:noProof/>
                <w:webHidden/>
              </w:rPr>
              <w:fldChar w:fldCharType="separate"/>
            </w:r>
            <w:r>
              <w:rPr>
                <w:noProof/>
                <w:webHidden/>
              </w:rPr>
              <w:t>20</w:t>
            </w:r>
            <w:r>
              <w:rPr>
                <w:noProof/>
                <w:webHidden/>
              </w:rPr>
              <w:fldChar w:fldCharType="end"/>
            </w:r>
          </w:hyperlink>
        </w:p>
        <w:p>
          <w:pPr>
            <w:pStyle w:val="Sumrio2"/>
            <w:tabs>
              <w:tab w:val="right" w:leader="dot" w:pos="9627"/>
            </w:tabs>
            <w:rPr>
              <w:rFonts w:cstheme="minorBidi"/>
              <w:noProof/>
            </w:rPr>
          </w:pPr>
          <w:hyperlink w:anchor="_Toc41376142" w:history="1">
            <w:r>
              <w:rPr>
                <w:rStyle w:val="Hyperlink"/>
                <w:noProof/>
              </w:rPr>
              <w:t>21.2. Empréstimo III</w:t>
            </w:r>
            <w:r>
              <w:rPr>
                <w:noProof/>
                <w:webHidden/>
              </w:rPr>
              <w:tab/>
            </w:r>
            <w:r>
              <w:rPr>
                <w:noProof/>
                <w:webHidden/>
              </w:rPr>
              <w:fldChar w:fldCharType="begin"/>
            </w:r>
            <w:r>
              <w:rPr>
                <w:noProof/>
                <w:webHidden/>
              </w:rPr>
              <w:instrText xml:space="preserve"> PAGEREF _Toc41376142 \h </w:instrText>
            </w:r>
            <w:r>
              <w:rPr>
                <w:noProof/>
                <w:webHidden/>
              </w:rPr>
            </w:r>
            <w:r>
              <w:rPr>
                <w:noProof/>
                <w:webHidden/>
              </w:rPr>
              <w:fldChar w:fldCharType="separate"/>
            </w:r>
            <w:r>
              <w:rPr>
                <w:noProof/>
                <w:webHidden/>
              </w:rPr>
              <w:t>20</w:t>
            </w:r>
            <w:r>
              <w:rPr>
                <w:noProof/>
                <w:webHidden/>
              </w:rPr>
              <w:fldChar w:fldCharType="end"/>
            </w:r>
          </w:hyperlink>
        </w:p>
        <w:p>
          <w:pPr>
            <w:pStyle w:val="Sumrio2"/>
            <w:tabs>
              <w:tab w:val="right" w:leader="dot" w:pos="9627"/>
            </w:tabs>
            <w:rPr>
              <w:rFonts w:cstheme="minorBidi"/>
              <w:noProof/>
            </w:rPr>
          </w:pPr>
          <w:hyperlink w:anchor="_Toc41376143" w:history="1">
            <w:r>
              <w:rPr>
                <w:rStyle w:val="Hyperlink"/>
                <w:noProof/>
              </w:rPr>
              <w:t>21.3. Empréstimo IV</w:t>
            </w:r>
            <w:r>
              <w:rPr>
                <w:noProof/>
                <w:webHidden/>
              </w:rPr>
              <w:tab/>
            </w:r>
            <w:r>
              <w:rPr>
                <w:noProof/>
                <w:webHidden/>
              </w:rPr>
              <w:fldChar w:fldCharType="begin"/>
            </w:r>
            <w:r>
              <w:rPr>
                <w:noProof/>
                <w:webHidden/>
              </w:rPr>
              <w:instrText xml:space="preserve"> PAGEREF _Toc41376143 \h </w:instrText>
            </w:r>
            <w:r>
              <w:rPr>
                <w:noProof/>
                <w:webHidden/>
              </w:rPr>
            </w:r>
            <w:r>
              <w:rPr>
                <w:noProof/>
                <w:webHidden/>
              </w:rPr>
              <w:fldChar w:fldCharType="separate"/>
            </w:r>
            <w:r>
              <w:rPr>
                <w:noProof/>
                <w:webHidden/>
              </w:rPr>
              <w:t>20</w:t>
            </w:r>
            <w:r>
              <w:rPr>
                <w:noProof/>
                <w:webHidden/>
              </w:rPr>
              <w:fldChar w:fldCharType="end"/>
            </w:r>
          </w:hyperlink>
        </w:p>
        <w:p>
          <w:pPr>
            <w:pStyle w:val="Sumrio2"/>
            <w:tabs>
              <w:tab w:val="right" w:leader="dot" w:pos="9627"/>
            </w:tabs>
            <w:rPr>
              <w:rFonts w:cstheme="minorBidi"/>
              <w:noProof/>
            </w:rPr>
          </w:pPr>
          <w:hyperlink w:anchor="_Toc41376144" w:history="1">
            <w:r>
              <w:rPr>
                <w:rStyle w:val="Hyperlink"/>
                <w:noProof/>
              </w:rPr>
              <w:t>21.4. Garantia – Obrigação Especial – Cessão de Direitos Creditórios</w:t>
            </w:r>
            <w:r>
              <w:rPr>
                <w:noProof/>
                <w:webHidden/>
              </w:rPr>
              <w:tab/>
            </w:r>
            <w:r>
              <w:rPr>
                <w:noProof/>
                <w:webHidden/>
              </w:rPr>
              <w:fldChar w:fldCharType="begin"/>
            </w:r>
            <w:r>
              <w:rPr>
                <w:noProof/>
                <w:webHidden/>
              </w:rPr>
              <w:instrText xml:space="preserve"> PAGEREF _Toc41376144 \h </w:instrText>
            </w:r>
            <w:r>
              <w:rPr>
                <w:noProof/>
                <w:webHidden/>
              </w:rPr>
            </w:r>
            <w:r>
              <w:rPr>
                <w:noProof/>
                <w:webHidden/>
              </w:rPr>
              <w:fldChar w:fldCharType="separate"/>
            </w:r>
            <w:r>
              <w:rPr>
                <w:noProof/>
                <w:webHidden/>
              </w:rPr>
              <w:t>21</w:t>
            </w:r>
            <w:r>
              <w:rPr>
                <w:noProof/>
                <w:webHidden/>
              </w:rPr>
              <w:fldChar w:fldCharType="end"/>
            </w:r>
          </w:hyperlink>
        </w:p>
        <w:p>
          <w:pPr>
            <w:pStyle w:val="Sumrio2"/>
            <w:tabs>
              <w:tab w:val="right" w:leader="dot" w:pos="9627"/>
            </w:tabs>
            <w:rPr>
              <w:rFonts w:cstheme="minorBidi"/>
              <w:noProof/>
            </w:rPr>
          </w:pPr>
          <w:hyperlink w:anchor="_Toc41376145" w:history="1">
            <w:r>
              <w:rPr>
                <w:rStyle w:val="Hyperlink"/>
                <w:noProof/>
              </w:rPr>
              <w:t>21.5. Obrigação Especial – Reforço da Garantia</w:t>
            </w:r>
            <w:r>
              <w:rPr>
                <w:noProof/>
                <w:webHidden/>
              </w:rPr>
              <w:tab/>
            </w:r>
            <w:r>
              <w:rPr>
                <w:noProof/>
                <w:webHidden/>
              </w:rPr>
              <w:fldChar w:fldCharType="begin"/>
            </w:r>
            <w:r>
              <w:rPr>
                <w:noProof/>
                <w:webHidden/>
              </w:rPr>
              <w:instrText xml:space="preserve"> PAGEREF _Toc41376145 \h </w:instrText>
            </w:r>
            <w:r>
              <w:rPr>
                <w:noProof/>
                <w:webHidden/>
              </w:rPr>
            </w:r>
            <w:r>
              <w:rPr>
                <w:noProof/>
                <w:webHidden/>
              </w:rPr>
              <w:fldChar w:fldCharType="separate"/>
            </w:r>
            <w:r>
              <w:rPr>
                <w:noProof/>
                <w:webHidden/>
              </w:rPr>
              <w:t>21</w:t>
            </w:r>
            <w:r>
              <w:rPr>
                <w:noProof/>
                <w:webHidden/>
              </w:rPr>
              <w:fldChar w:fldCharType="end"/>
            </w:r>
          </w:hyperlink>
        </w:p>
        <w:p>
          <w:pPr>
            <w:pStyle w:val="Sumrio2"/>
            <w:tabs>
              <w:tab w:val="right" w:leader="dot" w:pos="9627"/>
            </w:tabs>
            <w:rPr>
              <w:rFonts w:cstheme="minorBidi"/>
              <w:noProof/>
            </w:rPr>
          </w:pPr>
          <w:hyperlink w:anchor="_Toc41376146" w:history="1">
            <w:r>
              <w:rPr>
                <w:rStyle w:val="Hyperlink"/>
                <w:noProof/>
              </w:rPr>
              <w:t>21.6. Encargos Financeiros</w:t>
            </w:r>
            <w:r>
              <w:rPr>
                <w:noProof/>
                <w:webHidden/>
              </w:rPr>
              <w:tab/>
            </w:r>
            <w:r>
              <w:rPr>
                <w:noProof/>
                <w:webHidden/>
              </w:rPr>
              <w:fldChar w:fldCharType="begin"/>
            </w:r>
            <w:r>
              <w:rPr>
                <w:noProof/>
                <w:webHidden/>
              </w:rPr>
              <w:instrText xml:space="preserve"> PAGEREF _Toc41376146 \h </w:instrText>
            </w:r>
            <w:r>
              <w:rPr>
                <w:noProof/>
                <w:webHidden/>
              </w:rPr>
            </w:r>
            <w:r>
              <w:rPr>
                <w:noProof/>
                <w:webHidden/>
              </w:rPr>
              <w:fldChar w:fldCharType="separate"/>
            </w:r>
            <w:r>
              <w:rPr>
                <w:noProof/>
                <w:webHidden/>
              </w:rPr>
              <w:t>21</w:t>
            </w:r>
            <w:r>
              <w:rPr>
                <w:noProof/>
                <w:webHidden/>
              </w:rPr>
              <w:fldChar w:fldCharType="end"/>
            </w:r>
          </w:hyperlink>
        </w:p>
        <w:p>
          <w:pPr>
            <w:pStyle w:val="Sumrio2"/>
            <w:tabs>
              <w:tab w:val="right" w:leader="dot" w:pos="9627"/>
            </w:tabs>
            <w:rPr>
              <w:rFonts w:cstheme="minorBidi"/>
              <w:noProof/>
            </w:rPr>
          </w:pPr>
          <w:hyperlink w:anchor="_Toc41376147" w:history="1">
            <w:r>
              <w:rPr>
                <w:rStyle w:val="Hyperlink"/>
                <w:noProof/>
              </w:rPr>
              <w:t>21.7. Comissão Flat</w:t>
            </w:r>
            <w:r>
              <w:rPr>
                <w:noProof/>
                <w:webHidden/>
              </w:rPr>
              <w:tab/>
            </w:r>
            <w:r>
              <w:rPr>
                <w:noProof/>
                <w:webHidden/>
              </w:rPr>
              <w:fldChar w:fldCharType="begin"/>
            </w:r>
            <w:r>
              <w:rPr>
                <w:noProof/>
                <w:webHidden/>
              </w:rPr>
              <w:instrText xml:space="preserve"> PAGEREF _Toc41376147 \h </w:instrText>
            </w:r>
            <w:r>
              <w:rPr>
                <w:noProof/>
                <w:webHidden/>
              </w:rPr>
            </w:r>
            <w:r>
              <w:rPr>
                <w:noProof/>
                <w:webHidden/>
              </w:rPr>
              <w:fldChar w:fldCharType="separate"/>
            </w:r>
            <w:r>
              <w:rPr>
                <w:noProof/>
                <w:webHidden/>
              </w:rPr>
              <w:t>21</w:t>
            </w:r>
            <w:r>
              <w:rPr>
                <w:noProof/>
                <w:webHidden/>
              </w:rPr>
              <w:fldChar w:fldCharType="end"/>
            </w:r>
          </w:hyperlink>
        </w:p>
        <w:p>
          <w:pPr>
            <w:pStyle w:val="Sumrio1"/>
            <w:rPr>
              <w:rFonts w:eastAsiaTheme="minorEastAsia" w:cstheme="minorBidi"/>
              <w:szCs w:val="22"/>
              <w:lang w:eastAsia="pt-BR"/>
            </w:rPr>
          </w:pPr>
          <w:hyperlink w:anchor="_Toc41376148" w:history="1">
            <w:r>
              <w:rPr>
                <w:rStyle w:val="Hyperlink"/>
              </w:rPr>
              <w:t>22.</w:t>
            </w:r>
            <w:r>
              <w:rPr>
                <w:rFonts w:eastAsiaTheme="minorEastAsia" w:cstheme="minorBidi"/>
                <w:szCs w:val="22"/>
                <w:lang w:eastAsia="pt-BR"/>
              </w:rPr>
              <w:tab/>
            </w:r>
            <w:r>
              <w:rPr>
                <w:rStyle w:val="Hyperlink"/>
              </w:rPr>
              <w:t>PROVISÃO PARA CONTINGÊNCIAS</w:t>
            </w:r>
            <w:r>
              <w:rPr>
                <w:webHidden/>
              </w:rPr>
              <w:tab/>
            </w:r>
            <w:r>
              <w:rPr>
                <w:webHidden/>
              </w:rPr>
              <w:fldChar w:fldCharType="begin"/>
            </w:r>
            <w:r>
              <w:rPr>
                <w:webHidden/>
              </w:rPr>
              <w:instrText xml:space="preserve"> PAGEREF _Toc41376148 \h </w:instrText>
            </w:r>
            <w:r>
              <w:rPr>
                <w:webHidden/>
              </w:rPr>
            </w:r>
            <w:r>
              <w:rPr>
                <w:webHidden/>
              </w:rPr>
              <w:fldChar w:fldCharType="separate"/>
            </w:r>
            <w:r>
              <w:rPr>
                <w:webHidden/>
              </w:rPr>
              <w:t>21</w:t>
            </w:r>
            <w:r>
              <w:rPr>
                <w:webHidden/>
              </w:rPr>
              <w:fldChar w:fldCharType="end"/>
            </w:r>
          </w:hyperlink>
        </w:p>
        <w:p>
          <w:pPr>
            <w:pStyle w:val="Sumrio1"/>
            <w:rPr>
              <w:rFonts w:eastAsiaTheme="minorEastAsia" w:cstheme="minorBidi"/>
              <w:szCs w:val="22"/>
              <w:lang w:eastAsia="pt-BR"/>
            </w:rPr>
          </w:pPr>
          <w:hyperlink w:anchor="_Toc41376149" w:history="1">
            <w:r>
              <w:rPr>
                <w:rStyle w:val="Hyperlink"/>
              </w:rPr>
              <w:t>23.</w:t>
            </w:r>
            <w:r>
              <w:rPr>
                <w:rFonts w:eastAsiaTheme="minorEastAsia" w:cstheme="minorBidi"/>
                <w:szCs w:val="22"/>
                <w:lang w:eastAsia="pt-BR"/>
              </w:rPr>
              <w:tab/>
            </w:r>
            <w:r>
              <w:rPr>
                <w:rStyle w:val="Hyperlink"/>
              </w:rPr>
              <w:t>PATRIMÔNIO LÍQUIDO</w:t>
            </w:r>
            <w:r>
              <w:rPr>
                <w:webHidden/>
              </w:rPr>
              <w:tab/>
            </w:r>
            <w:r>
              <w:rPr>
                <w:webHidden/>
              </w:rPr>
              <w:fldChar w:fldCharType="begin"/>
            </w:r>
            <w:r>
              <w:rPr>
                <w:webHidden/>
              </w:rPr>
              <w:instrText xml:space="preserve"> PAGEREF _Toc41376149 \h </w:instrText>
            </w:r>
            <w:r>
              <w:rPr>
                <w:webHidden/>
              </w:rPr>
            </w:r>
            <w:r>
              <w:rPr>
                <w:webHidden/>
              </w:rPr>
              <w:fldChar w:fldCharType="separate"/>
            </w:r>
            <w:r>
              <w:rPr>
                <w:webHidden/>
              </w:rPr>
              <w:t>22</w:t>
            </w:r>
            <w:r>
              <w:rPr>
                <w:webHidden/>
              </w:rPr>
              <w:fldChar w:fldCharType="end"/>
            </w:r>
          </w:hyperlink>
        </w:p>
        <w:p>
          <w:pPr>
            <w:pStyle w:val="Sumrio2"/>
            <w:tabs>
              <w:tab w:val="right" w:leader="dot" w:pos="9627"/>
            </w:tabs>
            <w:rPr>
              <w:rFonts w:cstheme="minorBidi"/>
              <w:noProof/>
            </w:rPr>
          </w:pPr>
          <w:hyperlink w:anchor="_Toc41376150" w:history="1">
            <w:r>
              <w:rPr>
                <w:rStyle w:val="Hyperlink"/>
                <w:noProof/>
              </w:rPr>
              <w:t>23.1. Capital Social e Composição Acionária</w:t>
            </w:r>
            <w:r>
              <w:rPr>
                <w:noProof/>
                <w:webHidden/>
              </w:rPr>
              <w:tab/>
            </w:r>
            <w:r>
              <w:rPr>
                <w:noProof/>
                <w:webHidden/>
              </w:rPr>
              <w:fldChar w:fldCharType="begin"/>
            </w:r>
            <w:r>
              <w:rPr>
                <w:noProof/>
                <w:webHidden/>
              </w:rPr>
              <w:instrText xml:space="preserve"> PAGEREF _Toc41376150 \h </w:instrText>
            </w:r>
            <w:r>
              <w:rPr>
                <w:noProof/>
                <w:webHidden/>
              </w:rPr>
            </w:r>
            <w:r>
              <w:rPr>
                <w:noProof/>
                <w:webHidden/>
              </w:rPr>
              <w:fldChar w:fldCharType="separate"/>
            </w:r>
            <w:r>
              <w:rPr>
                <w:noProof/>
                <w:webHidden/>
              </w:rPr>
              <w:t>22</w:t>
            </w:r>
            <w:r>
              <w:rPr>
                <w:noProof/>
                <w:webHidden/>
              </w:rPr>
              <w:fldChar w:fldCharType="end"/>
            </w:r>
          </w:hyperlink>
        </w:p>
        <w:p>
          <w:pPr>
            <w:pStyle w:val="Sumrio2"/>
            <w:tabs>
              <w:tab w:val="right" w:leader="dot" w:pos="9627"/>
            </w:tabs>
            <w:rPr>
              <w:rFonts w:cstheme="minorBidi"/>
              <w:noProof/>
            </w:rPr>
          </w:pPr>
          <w:hyperlink w:anchor="_Toc41376151" w:history="1">
            <w:r>
              <w:rPr>
                <w:rStyle w:val="Hyperlink"/>
                <w:noProof/>
              </w:rPr>
              <w:t>23.2. Reserva de Reavaliação</w:t>
            </w:r>
            <w:r>
              <w:rPr>
                <w:noProof/>
                <w:webHidden/>
              </w:rPr>
              <w:tab/>
            </w:r>
            <w:r>
              <w:rPr>
                <w:noProof/>
                <w:webHidden/>
              </w:rPr>
              <w:fldChar w:fldCharType="begin"/>
            </w:r>
            <w:r>
              <w:rPr>
                <w:noProof/>
                <w:webHidden/>
              </w:rPr>
              <w:instrText xml:space="preserve"> PAGEREF _Toc41376151 \h </w:instrText>
            </w:r>
            <w:r>
              <w:rPr>
                <w:noProof/>
                <w:webHidden/>
              </w:rPr>
            </w:r>
            <w:r>
              <w:rPr>
                <w:noProof/>
                <w:webHidden/>
              </w:rPr>
              <w:fldChar w:fldCharType="separate"/>
            </w:r>
            <w:r>
              <w:rPr>
                <w:noProof/>
                <w:webHidden/>
              </w:rPr>
              <w:t>22</w:t>
            </w:r>
            <w:r>
              <w:rPr>
                <w:noProof/>
                <w:webHidden/>
              </w:rPr>
              <w:fldChar w:fldCharType="end"/>
            </w:r>
          </w:hyperlink>
        </w:p>
        <w:p>
          <w:pPr>
            <w:pStyle w:val="Sumrio2"/>
            <w:tabs>
              <w:tab w:val="right" w:leader="dot" w:pos="9627"/>
            </w:tabs>
            <w:rPr>
              <w:rFonts w:cstheme="minorBidi"/>
              <w:noProof/>
            </w:rPr>
          </w:pPr>
          <w:hyperlink w:anchor="_Toc41376152" w:history="1">
            <w:r>
              <w:rPr>
                <w:rStyle w:val="Hyperlink"/>
                <w:noProof/>
              </w:rPr>
              <w:t>23.3. Reserva Especial</w:t>
            </w:r>
            <w:r>
              <w:rPr>
                <w:noProof/>
                <w:webHidden/>
              </w:rPr>
              <w:tab/>
            </w:r>
            <w:r>
              <w:rPr>
                <w:noProof/>
                <w:webHidden/>
              </w:rPr>
              <w:fldChar w:fldCharType="begin"/>
            </w:r>
            <w:r>
              <w:rPr>
                <w:noProof/>
                <w:webHidden/>
              </w:rPr>
              <w:instrText xml:space="preserve"> PAGEREF _Toc41376152 \h </w:instrText>
            </w:r>
            <w:r>
              <w:rPr>
                <w:noProof/>
                <w:webHidden/>
              </w:rPr>
            </w:r>
            <w:r>
              <w:rPr>
                <w:noProof/>
                <w:webHidden/>
              </w:rPr>
              <w:fldChar w:fldCharType="separate"/>
            </w:r>
            <w:r>
              <w:rPr>
                <w:noProof/>
                <w:webHidden/>
              </w:rPr>
              <w:t>23</w:t>
            </w:r>
            <w:r>
              <w:rPr>
                <w:noProof/>
                <w:webHidden/>
              </w:rPr>
              <w:fldChar w:fldCharType="end"/>
            </w:r>
          </w:hyperlink>
        </w:p>
        <w:p>
          <w:pPr>
            <w:pStyle w:val="Sumrio2"/>
            <w:tabs>
              <w:tab w:val="right" w:leader="dot" w:pos="9627"/>
            </w:tabs>
            <w:rPr>
              <w:rFonts w:cstheme="minorBidi"/>
              <w:noProof/>
            </w:rPr>
          </w:pPr>
          <w:hyperlink w:anchor="_Toc41376153" w:history="1">
            <w:r>
              <w:rPr>
                <w:rStyle w:val="Hyperlink"/>
                <w:noProof/>
              </w:rPr>
              <w:t>23.4. Prejuízos acumulados</w:t>
            </w:r>
            <w:r>
              <w:rPr>
                <w:noProof/>
                <w:webHidden/>
              </w:rPr>
              <w:tab/>
            </w:r>
            <w:r>
              <w:rPr>
                <w:noProof/>
                <w:webHidden/>
              </w:rPr>
              <w:fldChar w:fldCharType="begin"/>
            </w:r>
            <w:r>
              <w:rPr>
                <w:noProof/>
                <w:webHidden/>
              </w:rPr>
              <w:instrText xml:space="preserve"> PAGEREF _Toc41376153 \h </w:instrText>
            </w:r>
            <w:r>
              <w:rPr>
                <w:noProof/>
                <w:webHidden/>
              </w:rPr>
            </w:r>
            <w:r>
              <w:rPr>
                <w:noProof/>
                <w:webHidden/>
              </w:rPr>
              <w:fldChar w:fldCharType="separate"/>
            </w:r>
            <w:r>
              <w:rPr>
                <w:noProof/>
                <w:webHidden/>
              </w:rPr>
              <w:t>23</w:t>
            </w:r>
            <w:r>
              <w:rPr>
                <w:noProof/>
                <w:webHidden/>
              </w:rPr>
              <w:fldChar w:fldCharType="end"/>
            </w:r>
          </w:hyperlink>
        </w:p>
        <w:p>
          <w:pPr>
            <w:pStyle w:val="Sumrio1"/>
            <w:rPr>
              <w:rFonts w:eastAsiaTheme="minorEastAsia" w:cstheme="minorBidi"/>
              <w:szCs w:val="22"/>
              <w:lang w:eastAsia="pt-BR"/>
            </w:rPr>
          </w:pPr>
          <w:hyperlink w:anchor="_Toc41376154" w:history="1">
            <w:r>
              <w:rPr>
                <w:rStyle w:val="Hyperlink"/>
              </w:rPr>
              <w:t xml:space="preserve">24. </w:t>
            </w:r>
            <w:r>
              <w:rPr>
                <w:rFonts w:eastAsiaTheme="minorEastAsia" w:cstheme="minorBidi"/>
                <w:szCs w:val="22"/>
                <w:lang w:eastAsia="pt-BR"/>
              </w:rPr>
              <w:tab/>
            </w:r>
            <w:r>
              <w:rPr>
                <w:rStyle w:val="Hyperlink"/>
              </w:rPr>
              <w:t>RECEITAS, CUSTOS E DESPESAS</w:t>
            </w:r>
            <w:r>
              <w:rPr>
                <w:webHidden/>
              </w:rPr>
              <w:tab/>
            </w:r>
            <w:r>
              <w:rPr>
                <w:webHidden/>
              </w:rPr>
              <w:fldChar w:fldCharType="begin"/>
            </w:r>
            <w:r>
              <w:rPr>
                <w:webHidden/>
              </w:rPr>
              <w:instrText xml:space="preserve"> PAGEREF _Toc41376154 \h </w:instrText>
            </w:r>
            <w:r>
              <w:rPr>
                <w:webHidden/>
              </w:rPr>
            </w:r>
            <w:r>
              <w:rPr>
                <w:webHidden/>
              </w:rPr>
              <w:fldChar w:fldCharType="separate"/>
            </w:r>
            <w:r>
              <w:rPr>
                <w:webHidden/>
              </w:rPr>
              <w:t>23</w:t>
            </w:r>
            <w:r>
              <w:rPr>
                <w:webHidden/>
              </w:rPr>
              <w:fldChar w:fldCharType="end"/>
            </w:r>
          </w:hyperlink>
        </w:p>
        <w:p>
          <w:pPr>
            <w:pStyle w:val="Sumrio2"/>
            <w:tabs>
              <w:tab w:val="right" w:leader="dot" w:pos="9627"/>
            </w:tabs>
            <w:rPr>
              <w:rFonts w:cstheme="minorBidi"/>
              <w:noProof/>
            </w:rPr>
          </w:pPr>
          <w:hyperlink w:anchor="_Toc41376155" w:history="1">
            <w:r>
              <w:rPr>
                <w:rStyle w:val="Hyperlink"/>
                <w:noProof/>
              </w:rPr>
              <w:t>24.1. Receita Operacional Líquida</w:t>
            </w:r>
            <w:r>
              <w:rPr>
                <w:noProof/>
                <w:webHidden/>
              </w:rPr>
              <w:tab/>
            </w:r>
            <w:r>
              <w:rPr>
                <w:noProof/>
                <w:webHidden/>
              </w:rPr>
              <w:fldChar w:fldCharType="begin"/>
            </w:r>
            <w:r>
              <w:rPr>
                <w:noProof/>
                <w:webHidden/>
              </w:rPr>
              <w:instrText xml:space="preserve"> PAGEREF _Toc41376155 \h </w:instrText>
            </w:r>
            <w:r>
              <w:rPr>
                <w:noProof/>
                <w:webHidden/>
              </w:rPr>
            </w:r>
            <w:r>
              <w:rPr>
                <w:noProof/>
                <w:webHidden/>
              </w:rPr>
              <w:fldChar w:fldCharType="separate"/>
            </w:r>
            <w:r>
              <w:rPr>
                <w:noProof/>
                <w:webHidden/>
              </w:rPr>
              <w:t>23</w:t>
            </w:r>
            <w:r>
              <w:rPr>
                <w:noProof/>
                <w:webHidden/>
              </w:rPr>
              <w:fldChar w:fldCharType="end"/>
            </w:r>
          </w:hyperlink>
        </w:p>
        <w:p>
          <w:pPr>
            <w:pStyle w:val="Sumrio3"/>
            <w:tabs>
              <w:tab w:val="right" w:leader="dot" w:pos="9627"/>
            </w:tabs>
            <w:rPr>
              <w:rFonts w:cstheme="minorBidi"/>
              <w:noProof/>
            </w:rPr>
          </w:pPr>
          <w:hyperlink w:anchor="_Toc41376156" w:history="1">
            <w:r>
              <w:rPr>
                <w:rStyle w:val="Hyperlink"/>
                <w:noProof/>
              </w:rPr>
              <w:t>24.1.1. Permissão e Concessão Remunerada de Uso</w:t>
            </w:r>
            <w:r>
              <w:rPr>
                <w:noProof/>
                <w:webHidden/>
              </w:rPr>
              <w:tab/>
            </w:r>
            <w:r>
              <w:rPr>
                <w:noProof/>
                <w:webHidden/>
              </w:rPr>
              <w:fldChar w:fldCharType="begin"/>
            </w:r>
            <w:r>
              <w:rPr>
                <w:noProof/>
                <w:webHidden/>
              </w:rPr>
              <w:instrText xml:space="preserve"> PAGEREF _Toc41376156 \h </w:instrText>
            </w:r>
            <w:r>
              <w:rPr>
                <w:noProof/>
                <w:webHidden/>
              </w:rPr>
            </w:r>
            <w:r>
              <w:rPr>
                <w:noProof/>
                <w:webHidden/>
              </w:rPr>
              <w:fldChar w:fldCharType="separate"/>
            </w:r>
            <w:r>
              <w:rPr>
                <w:noProof/>
                <w:webHidden/>
              </w:rPr>
              <w:t>24</w:t>
            </w:r>
            <w:r>
              <w:rPr>
                <w:noProof/>
                <w:webHidden/>
              </w:rPr>
              <w:fldChar w:fldCharType="end"/>
            </w:r>
          </w:hyperlink>
        </w:p>
        <w:p>
          <w:pPr>
            <w:pStyle w:val="Sumrio3"/>
            <w:tabs>
              <w:tab w:val="right" w:leader="dot" w:pos="9627"/>
            </w:tabs>
            <w:rPr>
              <w:rFonts w:cstheme="minorBidi"/>
              <w:noProof/>
            </w:rPr>
          </w:pPr>
          <w:hyperlink w:anchor="_Toc41376157" w:history="1">
            <w:r>
              <w:rPr>
                <w:rStyle w:val="Hyperlink"/>
                <w:noProof/>
              </w:rPr>
              <w:t>24.1.2. Serviços Prestados na Armazenagem</w:t>
            </w:r>
            <w:r>
              <w:rPr>
                <w:noProof/>
                <w:webHidden/>
              </w:rPr>
              <w:tab/>
            </w:r>
            <w:r>
              <w:rPr>
                <w:noProof/>
                <w:webHidden/>
              </w:rPr>
              <w:fldChar w:fldCharType="begin"/>
            </w:r>
            <w:r>
              <w:rPr>
                <w:noProof/>
                <w:webHidden/>
              </w:rPr>
              <w:instrText xml:space="preserve"> PAGEREF _Toc41376157 \h </w:instrText>
            </w:r>
            <w:r>
              <w:rPr>
                <w:noProof/>
                <w:webHidden/>
              </w:rPr>
            </w:r>
            <w:r>
              <w:rPr>
                <w:noProof/>
                <w:webHidden/>
              </w:rPr>
              <w:fldChar w:fldCharType="separate"/>
            </w:r>
            <w:r>
              <w:rPr>
                <w:noProof/>
                <w:webHidden/>
              </w:rPr>
              <w:t>24</w:t>
            </w:r>
            <w:r>
              <w:rPr>
                <w:noProof/>
                <w:webHidden/>
              </w:rPr>
              <w:fldChar w:fldCharType="end"/>
            </w:r>
          </w:hyperlink>
        </w:p>
        <w:p>
          <w:pPr>
            <w:pStyle w:val="Sumrio3"/>
            <w:tabs>
              <w:tab w:val="right" w:leader="dot" w:pos="9627"/>
            </w:tabs>
            <w:rPr>
              <w:rFonts w:cstheme="minorBidi"/>
              <w:noProof/>
            </w:rPr>
          </w:pPr>
          <w:hyperlink w:anchor="_Toc41376158" w:history="1">
            <w:r>
              <w:rPr>
                <w:rStyle w:val="Hyperlink"/>
                <w:noProof/>
              </w:rPr>
              <w:t>24.1.3. Autorização de Uso</w:t>
            </w:r>
            <w:r>
              <w:rPr>
                <w:noProof/>
                <w:webHidden/>
              </w:rPr>
              <w:tab/>
            </w:r>
            <w:r>
              <w:rPr>
                <w:noProof/>
                <w:webHidden/>
              </w:rPr>
              <w:fldChar w:fldCharType="begin"/>
            </w:r>
            <w:r>
              <w:rPr>
                <w:noProof/>
                <w:webHidden/>
              </w:rPr>
              <w:instrText xml:space="preserve"> PAGEREF _Toc41376158 \h </w:instrText>
            </w:r>
            <w:r>
              <w:rPr>
                <w:noProof/>
                <w:webHidden/>
              </w:rPr>
            </w:r>
            <w:r>
              <w:rPr>
                <w:noProof/>
                <w:webHidden/>
              </w:rPr>
              <w:fldChar w:fldCharType="separate"/>
            </w:r>
            <w:r>
              <w:rPr>
                <w:noProof/>
                <w:webHidden/>
              </w:rPr>
              <w:t>24</w:t>
            </w:r>
            <w:r>
              <w:rPr>
                <w:noProof/>
                <w:webHidden/>
              </w:rPr>
              <w:fldChar w:fldCharType="end"/>
            </w:r>
          </w:hyperlink>
        </w:p>
        <w:p>
          <w:pPr>
            <w:pStyle w:val="Sumrio3"/>
            <w:tabs>
              <w:tab w:val="right" w:leader="dot" w:pos="9627"/>
            </w:tabs>
            <w:rPr>
              <w:rFonts w:cstheme="minorBidi"/>
              <w:noProof/>
            </w:rPr>
          </w:pPr>
          <w:hyperlink w:anchor="_Toc41376159" w:history="1">
            <w:r>
              <w:rPr>
                <w:rStyle w:val="Hyperlink"/>
                <w:noProof/>
              </w:rPr>
              <w:t>24.1.4. Receitas Diversas</w:t>
            </w:r>
            <w:r>
              <w:rPr>
                <w:noProof/>
                <w:webHidden/>
              </w:rPr>
              <w:tab/>
            </w:r>
            <w:r>
              <w:rPr>
                <w:noProof/>
                <w:webHidden/>
              </w:rPr>
              <w:fldChar w:fldCharType="begin"/>
            </w:r>
            <w:r>
              <w:rPr>
                <w:noProof/>
                <w:webHidden/>
              </w:rPr>
              <w:instrText xml:space="preserve"> PAGEREF _Toc41376159 \h </w:instrText>
            </w:r>
            <w:r>
              <w:rPr>
                <w:noProof/>
                <w:webHidden/>
              </w:rPr>
            </w:r>
            <w:r>
              <w:rPr>
                <w:noProof/>
                <w:webHidden/>
              </w:rPr>
              <w:fldChar w:fldCharType="separate"/>
            </w:r>
            <w:r>
              <w:rPr>
                <w:noProof/>
                <w:webHidden/>
              </w:rPr>
              <w:t>24</w:t>
            </w:r>
            <w:r>
              <w:rPr>
                <w:noProof/>
                <w:webHidden/>
              </w:rPr>
              <w:fldChar w:fldCharType="end"/>
            </w:r>
          </w:hyperlink>
        </w:p>
        <w:p>
          <w:pPr>
            <w:pStyle w:val="Sumrio3"/>
            <w:tabs>
              <w:tab w:val="right" w:leader="dot" w:pos="9627"/>
            </w:tabs>
            <w:rPr>
              <w:rFonts w:cstheme="minorBidi"/>
              <w:noProof/>
            </w:rPr>
          </w:pPr>
          <w:hyperlink w:anchor="_Toc41376160" w:history="1">
            <w:r>
              <w:rPr>
                <w:rStyle w:val="Hyperlink"/>
                <w:noProof/>
              </w:rPr>
              <w:t>24.1.5. Venda de Produtos</w:t>
            </w:r>
            <w:r>
              <w:rPr>
                <w:noProof/>
                <w:webHidden/>
              </w:rPr>
              <w:tab/>
            </w:r>
            <w:r>
              <w:rPr>
                <w:noProof/>
                <w:webHidden/>
              </w:rPr>
              <w:fldChar w:fldCharType="begin"/>
            </w:r>
            <w:r>
              <w:rPr>
                <w:noProof/>
                <w:webHidden/>
              </w:rPr>
              <w:instrText xml:space="preserve"> PAGEREF _Toc41376160 \h </w:instrText>
            </w:r>
            <w:r>
              <w:rPr>
                <w:noProof/>
                <w:webHidden/>
              </w:rPr>
            </w:r>
            <w:r>
              <w:rPr>
                <w:noProof/>
                <w:webHidden/>
              </w:rPr>
              <w:fldChar w:fldCharType="separate"/>
            </w:r>
            <w:r>
              <w:rPr>
                <w:noProof/>
                <w:webHidden/>
              </w:rPr>
              <w:t>24</w:t>
            </w:r>
            <w:r>
              <w:rPr>
                <w:noProof/>
                <w:webHidden/>
              </w:rPr>
              <w:fldChar w:fldCharType="end"/>
            </w:r>
          </w:hyperlink>
        </w:p>
        <w:p>
          <w:pPr>
            <w:pStyle w:val="Sumrio2"/>
            <w:tabs>
              <w:tab w:val="right" w:leader="dot" w:pos="9627"/>
            </w:tabs>
            <w:rPr>
              <w:rFonts w:cstheme="minorBidi"/>
              <w:noProof/>
            </w:rPr>
          </w:pPr>
          <w:hyperlink w:anchor="_Toc41376161" w:history="1">
            <w:r>
              <w:rPr>
                <w:rStyle w:val="Hyperlink"/>
                <w:bCs/>
                <w:noProof/>
              </w:rPr>
              <w:t>24.2</w:t>
            </w:r>
            <w:r>
              <w:rPr>
                <w:rStyle w:val="Hyperlink"/>
                <w:noProof/>
              </w:rPr>
              <w:t>. Custos dos Serviços Prestados e Produtos Vendidos</w:t>
            </w:r>
            <w:r>
              <w:rPr>
                <w:noProof/>
                <w:webHidden/>
              </w:rPr>
              <w:tab/>
            </w:r>
            <w:r>
              <w:rPr>
                <w:noProof/>
                <w:webHidden/>
              </w:rPr>
              <w:fldChar w:fldCharType="begin"/>
            </w:r>
            <w:r>
              <w:rPr>
                <w:noProof/>
                <w:webHidden/>
              </w:rPr>
              <w:instrText xml:space="preserve"> PAGEREF _Toc41376161 \h </w:instrText>
            </w:r>
            <w:r>
              <w:rPr>
                <w:noProof/>
                <w:webHidden/>
              </w:rPr>
            </w:r>
            <w:r>
              <w:rPr>
                <w:noProof/>
                <w:webHidden/>
              </w:rPr>
              <w:fldChar w:fldCharType="separate"/>
            </w:r>
            <w:r>
              <w:rPr>
                <w:noProof/>
                <w:webHidden/>
              </w:rPr>
              <w:t>24</w:t>
            </w:r>
            <w:r>
              <w:rPr>
                <w:noProof/>
                <w:webHidden/>
              </w:rPr>
              <w:fldChar w:fldCharType="end"/>
            </w:r>
          </w:hyperlink>
        </w:p>
        <w:p>
          <w:pPr>
            <w:pStyle w:val="Sumrio3"/>
            <w:tabs>
              <w:tab w:val="right" w:leader="dot" w:pos="9627"/>
            </w:tabs>
            <w:rPr>
              <w:rFonts w:cstheme="minorBidi"/>
              <w:noProof/>
            </w:rPr>
          </w:pPr>
          <w:hyperlink w:anchor="_Toc41376162" w:history="1">
            <w:r>
              <w:rPr>
                <w:rStyle w:val="Hyperlink"/>
                <w:noProof/>
              </w:rPr>
              <w:t>24.2.1. Custos com Pessoal e Honorários</w:t>
            </w:r>
            <w:r>
              <w:rPr>
                <w:noProof/>
                <w:webHidden/>
              </w:rPr>
              <w:tab/>
            </w:r>
            <w:r>
              <w:rPr>
                <w:noProof/>
                <w:webHidden/>
              </w:rPr>
              <w:fldChar w:fldCharType="begin"/>
            </w:r>
            <w:r>
              <w:rPr>
                <w:noProof/>
                <w:webHidden/>
              </w:rPr>
              <w:instrText xml:space="preserve"> PAGEREF _Toc41376162 \h </w:instrText>
            </w:r>
            <w:r>
              <w:rPr>
                <w:noProof/>
                <w:webHidden/>
              </w:rPr>
            </w:r>
            <w:r>
              <w:rPr>
                <w:noProof/>
                <w:webHidden/>
              </w:rPr>
              <w:fldChar w:fldCharType="separate"/>
            </w:r>
            <w:r>
              <w:rPr>
                <w:noProof/>
                <w:webHidden/>
              </w:rPr>
              <w:t>25</w:t>
            </w:r>
            <w:r>
              <w:rPr>
                <w:noProof/>
                <w:webHidden/>
              </w:rPr>
              <w:fldChar w:fldCharType="end"/>
            </w:r>
          </w:hyperlink>
        </w:p>
        <w:p>
          <w:pPr>
            <w:pStyle w:val="Sumrio3"/>
            <w:tabs>
              <w:tab w:val="right" w:leader="dot" w:pos="9627"/>
            </w:tabs>
            <w:rPr>
              <w:rFonts w:cstheme="minorBidi"/>
              <w:noProof/>
            </w:rPr>
          </w:pPr>
          <w:hyperlink w:anchor="_Toc41376163" w:history="1">
            <w:r>
              <w:rPr>
                <w:rStyle w:val="Hyperlink"/>
                <w:noProof/>
              </w:rPr>
              <w:t>24.2.2. Custos com Serviços de Terceiros</w:t>
            </w:r>
            <w:r>
              <w:rPr>
                <w:noProof/>
                <w:webHidden/>
              </w:rPr>
              <w:tab/>
            </w:r>
            <w:r>
              <w:rPr>
                <w:noProof/>
                <w:webHidden/>
              </w:rPr>
              <w:fldChar w:fldCharType="begin"/>
            </w:r>
            <w:r>
              <w:rPr>
                <w:noProof/>
                <w:webHidden/>
              </w:rPr>
              <w:instrText xml:space="preserve"> PAGEREF _Toc41376163 \h </w:instrText>
            </w:r>
            <w:r>
              <w:rPr>
                <w:noProof/>
                <w:webHidden/>
              </w:rPr>
            </w:r>
            <w:r>
              <w:rPr>
                <w:noProof/>
                <w:webHidden/>
              </w:rPr>
              <w:fldChar w:fldCharType="separate"/>
            </w:r>
            <w:r>
              <w:rPr>
                <w:noProof/>
                <w:webHidden/>
              </w:rPr>
              <w:t>25</w:t>
            </w:r>
            <w:r>
              <w:rPr>
                <w:noProof/>
                <w:webHidden/>
              </w:rPr>
              <w:fldChar w:fldCharType="end"/>
            </w:r>
          </w:hyperlink>
        </w:p>
        <w:p>
          <w:pPr>
            <w:pStyle w:val="Sumrio3"/>
            <w:tabs>
              <w:tab w:val="right" w:leader="dot" w:pos="9627"/>
            </w:tabs>
            <w:rPr>
              <w:rFonts w:cstheme="minorBidi"/>
              <w:noProof/>
            </w:rPr>
          </w:pPr>
          <w:hyperlink w:anchor="_Toc41376164" w:history="1">
            <w:r>
              <w:rPr>
                <w:rStyle w:val="Hyperlink"/>
                <w:noProof/>
              </w:rPr>
              <w:t>24.2.3. Custos com Utilidades e Serviços</w:t>
            </w:r>
            <w:r>
              <w:rPr>
                <w:noProof/>
                <w:webHidden/>
              </w:rPr>
              <w:tab/>
            </w:r>
            <w:r>
              <w:rPr>
                <w:noProof/>
                <w:webHidden/>
              </w:rPr>
              <w:fldChar w:fldCharType="begin"/>
            </w:r>
            <w:r>
              <w:rPr>
                <w:noProof/>
                <w:webHidden/>
              </w:rPr>
              <w:instrText xml:space="preserve"> PAGEREF _Toc41376164 \h </w:instrText>
            </w:r>
            <w:r>
              <w:rPr>
                <w:noProof/>
                <w:webHidden/>
              </w:rPr>
            </w:r>
            <w:r>
              <w:rPr>
                <w:noProof/>
                <w:webHidden/>
              </w:rPr>
              <w:fldChar w:fldCharType="separate"/>
            </w:r>
            <w:r>
              <w:rPr>
                <w:noProof/>
                <w:webHidden/>
              </w:rPr>
              <w:t>25</w:t>
            </w:r>
            <w:r>
              <w:rPr>
                <w:noProof/>
                <w:webHidden/>
              </w:rPr>
              <w:fldChar w:fldCharType="end"/>
            </w:r>
          </w:hyperlink>
        </w:p>
        <w:p>
          <w:pPr>
            <w:pStyle w:val="Sumrio3"/>
            <w:tabs>
              <w:tab w:val="right" w:leader="dot" w:pos="9627"/>
            </w:tabs>
            <w:rPr>
              <w:rFonts w:cstheme="minorBidi"/>
              <w:noProof/>
            </w:rPr>
          </w:pPr>
          <w:hyperlink w:anchor="_Toc41376165" w:history="1">
            <w:r>
              <w:rPr>
                <w:rStyle w:val="Hyperlink"/>
                <w:noProof/>
              </w:rPr>
              <w:t>24.2.4. Custos com Materiais de Consumo</w:t>
            </w:r>
            <w:r>
              <w:rPr>
                <w:noProof/>
                <w:webHidden/>
              </w:rPr>
              <w:tab/>
            </w:r>
            <w:r>
              <w:rPr>
                <w:noProof/>
                <w:webHidden/>
              </w:rPr>
              <w:fldChar w:fldCharType="begin"/>
            </w:r>
            <w:r>
              <w:rPr>
                <w:noProof/>
                <w:webHidden/>
              </w:rPr>
              <w:instrText xml:space="preserve"> PAGEREF _Toc41376165 \h </w:instrText>
            </w:r>
            <w:r>
              <w:rPr>
                <w:noProof/>
                <w:webHidden/>
              </w:rPr>
            </w:r>
            <w:r>
              <w:rPr>
                <w:noProof/>
                <w:webHidden/>
              </w:rPr>
              <w:fldChar w:fldCharType="separate"/>
            </w:r>
            <w:r>
              <w:rPr>
                <w:noProof/>
                <w:webHidden/>
              </w:rPr>
              <w:t>25</w:t>
            </w:r>
            <w:r>
              <w:rPr>
                <w:noProof/>
                <w:webHidden/>
              </w:rPr>
              <w:fldChar w:fldCharType="end"/>
            </w:r>
          </w:hyperlink>
        </w:p>
        <w:p>
          <w:pPr>
            <w:pStyle w:val="Sumrio3"/>
            <w:tabs>
              <w:tab w:val="right" w:leader="dot" w:pos="9627"/>
            </w:tabs>
            <w:rPr>
              <w:rFonts w:cstheme="minorBidi"/>
              <w:noProof/>
            </w:rPr>
          </w:pPr>
          <w:hyperlink w:anchor="_Toc41376166" w:history="1">
            <w:r>
              <w:rPr>
                <w:rStyle w:val="Hyperlink"/>
                <w:noProof/>
              </w:rPr>
              <w:t>24.2.5. Custos com Manutenção e Reparos</w:t>
            </w:r>
            <w:r>
              <w:rPr>
                <w:noProof/>
                <w:webHidden/>
              </w:rPr>
              <w:tab/>
            </w:r>
            <w:r>
              <w:rPr>
                <w:noProof/>
                <w:webHidden/>
              </w:rPr>
              <w:fldChar w:fldCharType="begin"/>
            </w:r>
            <w:r>
              <w:rPr>
                <w:noProof/>
                <w:webHidden/>
              </w:rPr>
              <w:instrText xml:space="preserve"> PAGEREF _Toc41376166 \h </w:instrText>
            </w:r>
            <w:r>
              <w:rPr>
                <w:noProof/>
                <w:webHidden/>
              </w:rPr>
            </w:r>
            <w:r>
              <w:rPr>
                <w:noProof/>
                <w:webHidden/>
              </w:rPr>
              <w:fldChar w:fldCharType="separate"/>
            </w:r>
            <w:r>
              <w:rPr>
                <w:noProof/>
                <w:webHidden/>
              </w:rPr>
              <w:t>25</w:t>
            </w:r>
            <w:r>
              <w:rPr>
                <w:noProof/>
                <w:webHidden/>
              </w:rPr>
              <w:fldChar w:fldCharType="end"/>
            </w:r>
          </w:hyperlink>
        </w:p>
        <w:p>
          <w:pPr>
            <w:pStyle w:val="Sumrio3"/>
            <w:tabs>
              <w:tab w:val="right" w:leader="dot" w:pos="9627"/>
            </w:tabs>
            <w:rPr>
              <w:rFonts w:cstheme="minorBidi"/>
              <w:noProof/>
            </w:rPr>
          </w:pPr>
          <w:hyperlink w:anchor="_Toc41376167" w:history="1">
            <w:r>
              <w:rPr>
                <w:rStyle w:val="Hyperlink"/>
                <w:noProof/>
              </w:rPr>
              <w:t>24.2.6. Gastos Diversos</w:t>
            </w:r>
            <w:r>
              <w:rPr>
                <w:noProof/>
                <w:webHidden/>
              </w:rPr>
              <w:tab/>
            </w:r>
            <w:r>
              <w:rPr>
                <w:noProof/>
                <w:webHidden/>
              </w:rPr>
              <w:fldChar w:fldCharType="begin"/>
            </w:r>
            <w:r>
              <w:rPr>
                <w:noProof/>
                <w:webHidden/>
              </w:rPr>
              <w:instrText xml:space="preserve"> PAGEREF _Toc41376167 \h </w:instrText>
            </w:r>
            <w:r>
              <w:rPr>
                <w:noProof/>
                <w:webHidden/>
              </w:rPr>
            </w:r>
            <w:r>
              <w:rPr>
                <w:noProof/>
                <w:webHidden/>
              </w:rPr>
              <w:fldChar w:fldCharType="separate"/>
            </w:r>
            <w:r>
              <w:rPr>
                <w:noProof/>
                <w:webHidden/>
              </w:rPr>
              <w:t>25</w:t>
            </w:r>
            <w:r>
              <w:rPr>
                <w:noProof/>
                <w:webHidden/>
              </w:rPr>
              <w:fldChar w:fldCharType="end"/>
            </w:r>
          </w:hyperlink>
        </w:p>
        <w:p>
          <w:pPr>
            <w:pStyle w:val="Sumrio2"/>
            <w:tabs>
              <w:tab w:val="right" w:leader="dot" w:pos="9627"/>
            </w:tabs>
            <w:rPr>
              <w:rFonts w:cstheme="minorBidi"/>
              <w:noProof/>
            </w:rPr>
          </w:pPr>
          <w:hyperlink w:anchor="_Toc41376168" w:history="1">
            <w:r>
              <w:rPr>
                <w:rStyle w:val="Hyperlink"/>
                <w:noProof/>
              </w:rPr>
              <w:t>24.3. Despesas Gerais e Administrativas</w:t>
            </w:r>
            <w:r>
              <w:rPr>
                <w:noProof/>
                <w:webHidden/>
              </w:rPr>
              <w:tab/>
            </w:r>
            <w:r>
              <w:rPr>
                <w:noProof/>
                <w:webHidden/>
              </w:rPr>
              <w:fldChar w:fldCharType="begin"/>
            </w:r>
            <w:r>
              <w:rPr>
                <w:noProof/>
                <w:webHidden/>
              </w:rPr>
              <w:instrText xml:space="preserve"> PAGEREF _Toc41376168 \h </w:instrText>
            </w:r>
            <w:r>
              <w:rPr>
                <w:noProof/>
                <w:webHidden/>
              </w:rPr>
            </w:r>
            <w:r>
              <w:rPr>
                <w:noProof/>
                <w:webHidden/>
              </w:rPr>
              <w:fldChar w:fldCharType="separate"/>
            </w:r>
            <w:r>
              <w:rPr>
                <w:noProof/>
                <w:webHidden/>
              </w:rPr>
              <w:t>26</w:t>
            </w:r>
            <w:r>
              <w:rPr>
                <w:noProof/>
                <w:webHidden/>
              </w:rPr>
              <w:fldChar w:fldCharType="end"/>
            </w:r>
          </w:hyperlink>
        </w:p>
        <w:p>
          <w:pPr>
            <w:pStyle w:val="Sumrio3"/>
            <w:tabs>
              <w:tab w:val="right" w:leader="dot" w:pos="9627"/>
            </w:tabs>
            <w:rPr>
              <w:rFonts w:cstheme="minorBidi"/>
              <w:noProof/>
            </w:rPr>
          </w:pPr>
          <w:hyperlink w:anchor="_Toc41376169" w:history="1">
            <w:r>
              <w:rPr>
                <w:rStyle w:val="Hyperlink"/>
                <w:noProof/>
              </w:rPr>
              <w:t>24.3.1. Despesas com Pessoal e Encargos</w:t>
            </w:r>
            <w:r>
              <w:rPr>
                <w:noProof/>
                <w:webHidden/>
              </w:rPr>
              <w:tab/>
            </w:r>
            <w:r>
              <w:rPr>
                <w:noProof/>
                <w:webHidden/>
              </w:rPr>
              <w:fldChar w:fldCharType="begin"/>
            </w:r>
            <w:r>
              <w:rPr>
                <w:noProof/>
                <w:webHidden/>
              </w:rPr>
              <w:instrText xml:space="preserve"> PAGEREF _Toc41376169 \h </w:instrText>
            </w:r>
            <w:r>
              <w:rPr>
                <w:noProof/>
                <w:webHidden/>
              </w:rPr>
            </w:r>
            <w:r>
              <w:rPr>
                <w:noProof/>
                <w:webHidden/>
              </w:rPr>
              <w:fldChar w:fldCharType="separate"/>
            </w:r>
            <w:r>
              <w:rPr>
                <w:noProof/>
                <w:webHidden/>
              </w:rPr>
              <w:t>26</w:t>
            </w:r>
            <w:r>
              <w:rPr>
                <w:noProof/>
                <w:webHidden/>
              </w:rPr>
              <w:fldChar w:fldCharType="end"/>
            </w:r>
          </w:hyperlink>
        </w:p>
        <w:p>
          <w:pPr>
            <w:pStyle w:val="Sumrio3"/>
            <w:tabs>
              <w:tab w:val="right" w:leader="dot" w:pos="9627"/>
            </w:tabs>
            <w:rPr>
              <w:rFonts w:cstheme="minorBidi"/>
              <w:noProof/>
            </w:rPr>
          </w:pPr>
          <w:hyperlink w:anchor="_Toc41376170" w:history="1">
            <w:r>
              <w:rPr>
                <w:rStyle w:val="Hyperlink"/>
                <w:noProof/>
              </w:rPr>
              <w:t>24.3.2. Despesas com Provisões</w:t>
            </w:r>
            <w:r>
              <w:rPr>
                <w:noProof/>
                <w:webHidden/>
              </w:rPr>
              <w:tab/>
            </w:r>
            <w:r>
              <w:rPr>
                <w:noProof/>
                <w:webHidden/>
              </w:rPr>
              <w:fldChar w:fldCharType="begin"/>
            </w:r>
            <w:r>
              <w:rPr>
                <w:noProof/>
                <w:webHidden/>
              </w:rPr>
              <w:instrText xml:space="preserve"> PAGEREF _Toc41376170 \h </w:instrText>
            </w:r>
            <w:r>
              <w:rPr>
                <w:noProof/>
                <w:webHidden/>
              </w:rPr>
            </w:r>
            <w:r>
              <w:rPr>
                <w:noProof/>
                <w:webHidden/>
              </w:rPr>
              <w:fldChar w:fldCharType="separate"/>
            </w:r>
            <w:r>
              <w:rPr>
                <w:noProof/>
                <w:webHidden/>
              </w:rPr>
              <w:t>26</w:t>
            </w:r>
            <w:r>
              <w:rPr>
                <w:noProof/>
                <w:webHidden/>
              </w:rPr>
              <w:fldChar w:fldCharType="end"/>
            </w:r>
          </w:hyperlink>
        </w:p>
        <w:p>
          <w:pPr>
            <w:pStyle w:val="Sumrio3"/>
            <w:tabs>
              <w:tab w:val="right" w:leader="dot" w:pos="9627"/>
            </w:tabs>
            <w:rPr>
              <w:rFonts w:cstheme="minorBidi"/>
              <w:noProof/>
            </w:rPr>
          </w:pPr>
          <w:hyperlink w:anchor="_Toc41376171" w:history="1">
            <w:r>
              <w:rPr>
                <w:rStyle w:val="Hyperlink"/>
                <w:noProof/>
              </w:rPr>
              <w:t>24.3.3. Despesas com Serviços de Terceiros</w:t>
            </w:r>
            <w:r>
              <w:rPr>
                <w:noProof/>
                <w:webHidden/>
              </w:rPr>
              <w:tab/>
            </w:r>
            <w:r>
              <w:rPr>
                <w:noProof/>
                <w:webHidden/>
              </w:rPr>
              <w:fldChar w:fldCharType="begin"/>
            </w:r>
            <w:r>
              <w:rPr>
                <w:noProof/>
                <w:webHidden/>
              </w:rPr>
              <w:instrText xml:space="preserve"> PAGEREF _Toc41376171 \h </w:instrText>
            </w:r>
            <w:r>
              <w:rPr>
                <w:noProof/>
                <w:webHidden/>
              </w:rPr>
            </w:r>
            <w:r>
              <w:rPr>
                <w:noProof/>
                <w:webHidden/>
              </w:rPr>
              <w:fldChar w:fldCharType="separate"/>
            </w:r>
            <w:r>
              <w:rPr>
                <w:noProof/>
                <w:webHidden/>
              </w:rPr>
              <w:t>26</w:t>
            </w:r>
            <w:r>
              <w:rPr>
                <w:noProof/>
                <w:webHidden/>
              </w:rPr>
              <w:fldChar w:fldCharType="end"/>
            </w:r>
          </w:hyperlink>
        </w:p>
        <w:p>
          <w:pPr>
            <w:pStyle w:val="Sumrio3"/>
            <w:tabs>
              <w:tab w:val="right" w:leader="dot" w:pos="9627"/>
            </w:tabs>
            <w:rPr>
              <w:rFonts w:cstheme="minorBidi"/>
              <w:noProof/>
            </w:rPr>
          </w:pPr>
          <w:hyperlink w:anchor="_Toc41376172" w:history="1">
            <w:r>
              <w:rPr>
                <w:rStyle w:val="Hyperlink"/>
                <w:noProof/>
              </w:rPr>
              <w:t>24.3.4. Despesas Gerais</w:t>
            </w:r>
            <w:r>
              <w:rPr>
                <w:noProof/>
                <w:webHidden/>
              </w:rPr>
              <w:tab/>
            </w:r>
            <w:r>
              <w:rPr>
                <w:noProof/>
                <w:webHidden/>
              </w:rPr>
              <w:fldChar w:fldCharType="begin"/>
            </w:r>
            <w:r>
              <w:rPr>
                <w:noProof/>
                <w:webHidden/>
              </w:rPr>
              <w:instrText xml:space="preserve"> PAGEREF _Toc41376172 \h </w:instrText>
            </w:r>
            <w:r>
              <w:rPr>
                <w:noProof/>
                <w:webHidden/>
              </w:rPr>
            </w:r>
            <w:r>
              <w:rPr>
                <w:noProof/>
                <w:webHidden/>
              </w:rPr>
              <w:fldChar w:fldCharType="separate"/>
            </w:r>
            <w:r>
              <w:rPr>
                <w:noProof/>
                <w:webHidden/>
              </w:rPr>
              <w:t>26</w:t>
            </w:r>
            <w:r>
              <w:rPr>
                <w:noProof/>
                <w:webHidden/>
              </w:rPr>
              <w:fldChar w:fldCharType="end"/>
            </w:r>
          </w:hyperlink>
        </w:p>
        <w:p>
          <w:pPr>
            <w:pStyle w:val="Sumrio3"/>
            <w:tabs>
              <w:tab w:val="right" w:leader="dot" w:pos="9627"/>
            </w:tabs>
            <w:rPr>
              <w:rFonts w:cstheme="minorBidi"/>
              <w:noProof/>
            </w:rPr>
          </w:pPr>
          <w:hyperlink w:anchor="_Toc41376173" w:history="1">
            <w:r>
              <w:rPr>
                <w:rStyle w:val="Hyperlink"/>
                <w:noProof/>
              </w:rPr>
              <w:t>24.3.5. Despesas com Materiais de Consumo</w:t>
            </w:r>
            <w:r>
              <w:rPr>
                <w:noProof/>
                <w:webHidden/>
              </w:rPr>
              <w:tab/>
            </w:r>
            <w:r>
              <w:rPr>
                <w:noProof/>
                <w:webHidden/>
              </w:rPr>
              <w:fldChar w:fldCharType="begin"/>
            </w:r>
            <w:r>
              <w:rPr>
                <w:noProof/>
                <w:webHidden/>
              </w:rPr>
              <w:instrText xml:space="preserve"> PAGEREF _Toc41376173 \h </w:instrText>
            </w:r>
            <w:r>
              <w:rPr>
                <w:noProof/>
                <w:webHidden/>
              </w:rPr>
            </w:r>
            <w:r>
              <w:rPr>
                <w:noProof/>
                <w:webHidden/>
              </w:rPr>
              <w:fldChar w:fldCharType="separate"/>
            </w:r>
            <w:r>
              <w:rPr>
                <w:noProof/>
                <w:webHidden/>
              </w:rPr>
              <w:t>26</w:t>
            </w:r>
            <w:r>
              <w:rPr>
                <w:noProof/>
                <w:webHidden/>
              </w:rPr>
              <w:fldChar w:fldCharType="end"/>
            </w:r>
          </w:hyperlink>
        </w:p>
        <w:p>
          <w:pPr>
            <w:pStyle w:val="Sumrio3"/>
            <w:tabs>
              <w:tab w:val="right" w:leader="dot" w:pos="9627"/>
            </w:tabs>
            <w:rPr>
              <w:rFonts w:cstheme="minorBidi"/>
              <w:noProof/>
            </w:rPr>
          </w:pPr>
          <w:hyperlink w:anchor="_Toc41376174" w:history="1">
            <w:r>
              <w:rPr>
                <w:rStyle w:val="Hyperlink"/>
                <w:noProof/>
              </w:rPr>
              <w:t>24.3.6. Despesas com Manutenção e Reparos</w:t>
            </w:r>
            <w:r>
              <w:rPr>
                <w:noProof/>
                <w:webHidden/>
              </w:rPr>
              <w:tab/>
            </w:r>
            <w:r>
              <w:rPr>
                <w:noProof/>
                <w:webHidden/>
              </w:rPr>
              <w:fldChar w:fldCharType="begin"/>
            </w:r>
            <w:r>
              <w:rPr>
                <w:noProof/>
                <w:webHidden/>
              </w:rPr>
              <w:instrText xml:space="preserve"> PAGEREF _Toc41376174 \h </w:instrText>
            </w:r>
            <w:r>
              <w:rPr>
                <w:noProof/>
                <w:webHidden/>
              </w:rPr>
            </w:r>
            <w:r>
              <w:rPr>
                <w:noProof/>
                <w:webHidden/>
              </w:rPr>
              <w:fldChar w:fldCharType="separate"/>
            </w:r>
            <w:r>
              <w:rPr>
                <w:noProof/>
                <w:webHidden/>
              </w:rPr>
              <w:t>27</w:t>
            </w:r>
            <w:r>
              <w:rPr>
                <w:noProof/>
                <w:webHidden/>
              </w:rPr>
              <w:fldChar w:fldCharType="end"/>
            </w:r>
          </w:hyperlink>
        </w:p>
        <w:p>
          <w:pPr>
            <w:pStyle w:val="Sumrio3"/>
            <w:tabs>
              <w:tab w:val="right" w:leader="dot" w:pos="9627"/>
            </w:tabs>
            <w:rPr>
              <w:rFonts w:cstheme="minorBidi"/>
              <w:noProof/>
            </w:rPr>
          </w:pPr>
          <w:hyperlink w:anchor="_Toc41376175" w:history="1">
            <w:r>
              <w:rPr>
                <w:rStyle w:val="Hyperlink"/>
                <w:noProof/>
              </w:rPr>
              <w:t>24.3.7. Despesas com Utilidades e Serviços</w:t>
            </w:r>
            <w:r>
              <w:rPr>
                <w:noProof/>
                <w:webHidden/>
              </w:rPr>
              <w:tab/>
            </w:r>
            <w:r>
              <w:rPr>
                <w:noProof/>
                <w:webHidden/>
              </w:rPr>
              <w:fldChar w:fldCharType="begin"/>
            </w:r>
            <w:r>
              <w:rPr>
                <w:noProof/>
                <w:webHidden/>
              </w:rPr>
              <w:instrText xml:space="preserve"> PAGEREF _Toc41376175 \h </w:instrText>
            </w:r>
            <w:r>
              <w:rPr>
                <w:noProof/>
                <w:webHidden/>
              </w:rPr>
            </w:r>
            <w:r>
              <w:rPr>
                <w:noProof/>
                <w:webHidden/>
              </w:rPr>
              <w:fldChar w:fldCharType="separate"/>
            </w:r>
            <w:r>
              <w:rPr>
                <w:noProof/>
                <w:webHidden/>
              </w:rPr>
              <w:t>27</w:t>
            </w:r>
            <w:r>
              <w:rPr>
                <w:noProof/>
                <w:webHidden/>
              </w:rPr>
              <w:fldChar w:fldCharType="end"/>
            </w:r>
          </w:hyperlink>
        </w:p>
        <w:p>
          <w:pPr>
            <w:pStyle w:val="Sumrio2"/>
            <w:tabs>
              <w:tab w:val="right" w:leader="dot" w:pos="9627"/>
            </w:tabs>
            <w:rPr>
              <w:rFonts w:cstheme="minorBidi"/>
              <w:noProof/>
            </w:rPr>
          </w:pPr>
          <w:hyperlink w:anchor="_Toc41376176" w:history="1">
            <w:r>
              <w:rPr>
                <w:rStyle w:val="Hyperlink"/>
                <w:noProof/>
              </w:rPr>
              <w:t>24.4. Outras Receitas Operacionais</w:t>
            </w:r>
            <w:r>
              <w:rPr>
                <w:noProof/>
                <w:webHidden/>
              </w:rPr>
              <w:tab/>
            </w:r>
            <w:r>
              <w:rPr>
                <w:noProof/>
                <w:webHidden/>
              </w:rPr>
              <w:fldChar w:fldCharType="begin"/>
            </w:r>
            <w:r>
              <w:rPr>
                <w:noProof/>
                <w:webHidden/>
              </w:rPr>
              <w:instrText xml:space="preserve"> PAGEREF _Toc41376176 \h </w:instrText>
            </w:r>
            <w:r>
              <w:rPr>
                <w:noProof/>
                <w:webHidden/>
              </w:rPr>
            </w:r>
            <w:r>
              <w:rPr>
                <w:noProof/>
                <w:webHidden/>
              </w:rPr>
              <w:fldChar w:fldCharType="separate"/>
            </w:r>
            <w:r>
              <w:rPr>
                <w:noProof/>
                <w:webHidden/>
              </w:rPr>
              <w:t>27</w:t>
            </w:r>
            <w:r>
              <w:rPr>
                <w:noProof/>
                <w:webHidden/>
              </w:rPr>
              <w:fldChar w:fldCharType="end"/>
            </w:r>
          </w:hyperlink>
        </w:p>
        <w:p>
          <w:pPr>
            <w:pStyle w:val="Sumrio3"/>
            <w:tabs>
              <w:tab w:val="right" w:leader="dot" w:pos="9627"/>
            </w:tabs>
            <w:rPr>
              <w:rFonts w:cstheme="minorBidi"/>
              <w:noProof/>
            </w:rPr>
          </w:pPr>
          <w:hyperlink w:anchor="_Toc41376177" w:history="1">
            <w:r>
              <w:rPr>
                <w:rStyle w:val="Hyperlink"/>
                <w:noProof/>
              </w:rPr>
              <w:t>24.4.1. Eventuais</w:t>
            </w:r>
            <w:r>
              <w:rPr>
                <w:noProof/>
                <w:webHidden/>
              </w:rPr>
              <w:tab/>
            </w:r>
            <w:r>
              <w:rPr>
                <w:noProof/>
                <w:webHidden/>
              </w:rPr>
              <w:fldChar w:fldCharType="begin"/>
            </w:r>
            <w:r>
              <w:rPr>
                <w:noProof/>
                <w:webHidden/>
              </w:rPr>
              <w:instrText xml:space="preserve"> PAGEREF _Toc41376177 \h </w:instrText>
            </w:r>
            <w:r>
              <w:rPr>
                <w:noProof/>
                <w:webHidden/>
              </w:rPr>
            </w:r>
            <w:r>
              <w:rPr>
                <w:noProof/>
                <w:webHidden/>
              </w:rPr>
              <w:fldChar w:fldCharType="separate"/>
            </w:r>
            <w:r>
              <w:rPr>
                <w:noProof/>
                <w:webHidden/>
              </w:rPr>
              <w:t>27</w:t>
            </w:r>
            <w:r>
              <w:rPr>
                <w:noProof/>
                <w:webHidden/>
              </w:rPr>
              <w:fldChar w:fldCharType="end"/>
            </w:r>
          </w:hyperlink>
        </w:p>
        <w:p>
          <w:pPr>
            <w:pStyle w:val="Sumrio2"/>
            <w:tabs>
              <w:tab w:val="right" w:leader="dot" w:pos="9627"/>
            </w:tabs>
            <w:rPr>
              <w:rFonts w:cstheme="minorBidi"/>
              <w:noProof/>
            </w:rPr>
          </w:pPr>
          <w:hyperlink w:anchor="_Toc41376178" w:history="1">
            <w:r>
              <w:rPr>
                <w:rStyle w:val="Hyperlink"/>
                <w:noProof/>
              </w:rPr>
              <w:t>24.5. Despesas Financeiras</w:t>
            </w:r>
            <w:r>
              <w:rPr>
                <w:noProof/>
                <w:webHidden/>
              </w:rPr>
              <w:tab/>
            </w:r>
            <w:r>
              <w:rPr>
                <w:noProof/>
                <w:webHidden/>
              </w:rPr>
              <w:fldChar w:fldCharType="begin"/>
            </w:r>
            <w:r>
              <w:rPr>
                <w:noProof/>
                <w:webHidden/>
              </w:rPr>
              <w:instrText xml:space="preserve"> PAGEREF _Toc41376178 \h </w:instrText>
            </w:r>
            <w:r>
              <w:rPr>
                <w:noProof/>
                <w:webHidden/>
              </w:rPr>
            </w:r>
            <w:r>
              <w:rPr>
                <w:noProof/>
                <w:webHidden/>
              </w:rPr>
              <w:fldChar w:fldCharType="separate"/>
            </w:r>
            <w:r>
              <w:rPr>
                <w:noProof/>
                <w:webHidden/>
              </w:rPr>
              <w:t>27</w:t>
            </w:r>
            <w:r>
              <w:rPr>
                <w:noProof/>
                <w:webHidden/>
              </w:rPr>
              <w:fldChar w:fldCharType="end"/>
            </w:r>
          </w:hyperlink>
        </w:p>
        <w:p>
          <w:pPr>
            <w:pStyle w:val="Sumrio3"/>
            <w:tabs>
              <w:tab w:val="right" w:leader="dot" w:pos="9627"/>
            </w:tabs>
            <w:rPr>
              <w:rFonts w:cstheme="minorBidi"/>
              <w:noProof/>
            </w:rPr>
          </w:pPr>
          <w:hyperlink w:anchor="_Toc41376179" w:history="1">
            <w:r>
              <w:rPr>
                <w:rStyle w:val="Hyperlink"/>
                <w:noProof/>
              </w:rPr>
              <w:t>24.5.1. Atualização Monetária</w:t>
            </w:r>
            <w:r>
              <w:rPr>
                <w:noProof/>
                <w:webHidden/>
              </w:rPr>
              <w:tab/>
            </w:r>
            <w:r>
              <w:rPr>
                <w:noProof/>
                <w:webHidden/>
              </w:rPr>
              <w:fldChar w:fldCharType="begin"/>
            </w:r>
            <w:r>
              <w:rPr>
                <w:noProof/>
                <w:webHidden/>
              </w:rPr>
              <w:instrText xml:space="preserve"> PAGEREF _Toc41376179 \h </w:instrText>
            </w:r>
            <w:r>
              <w:rPr>
                <w:noProof/>
                <w:webHidden/>
              </w:rPr>
            </w:r>
            <w:r>
              <w:rPr>
                <w:noProof/>
                <w:webHidden/>
              </w:rPr>
              <w:fldChar w:fldCharType="separate"/>
            </w:r>
            <w:r>
              <w:rPr>
                <w:noProof/>
                <w:webHidden/>
              </w:rPr>
              <w:t>27</w:t>
            </w:r>
            <w:r>
              <w:rPr>
                <w:noProof/>
                <w:webHidden/>
              </w:rPr>
              <w:fldChar w:fldCharType="end"/>
            </w:r>
          </w:hyperlink>
        </w:p>
        <w:p>
          <w:pPr>
            <w:pStyle w:val="Sumrio3"/>
            <w:tabs>
              <w:tab w:val="right" w:leader="dot" w:pos="9627"/>
            </w:tabs>
            <w:rPr>
              <w:rFonts w:cstheme="minorBidi"/>
              <w:noProof/>
            </w:rPr>
          </w:pPr>
          <w:hyperlink w:anchor="_Toc41376180" w:history="1">
            <w:r>
              <w:rPr>
                <w:rStyle w:val="Hyperlink"/>
                <w:noProof/>
              </w:rPr>
              <w:t>24.5.2. Juros Financeiros e Empréstimo, Comissões e Despesas Bancárias e IOF</w:t>
            </w:r>
            <w:r>
              <w:rPr>
                <w:noProof/>
                <w:webHidden/>
              </w:rPr>
              <w:tab/>
            </w:r>
            <w:r>
              <w:rPr>
                <w:noProof/>
                <w:webHidden/>
              </w:rPr>
              <w:fldChar w:fldCharType="begin"/>
            </w:r>
            <w:r>
              <w:rPr>
                <w:noProof/>
                <w:webHidden/>
              </w:rPr>
              <w:instrText xml:space="preserve"> PAGEREF _Toc41376180 \h </w:instrText>
            </w:r>
            <w:r>
              <w:rPr>
                <w:noProof/>
                <w:webHidden/>
              </w:rPr>
            </w:r>
            <w:r>
              <w:rPr>
                <w:noProof/>
                <w:webHidden/>
              </w:rPr>
              <w:fldChar w:fldCharType="separate"/>
            </w:r>
            <w:r>
              <w:rPr>
                <w:noProof/>
                <w:webHidden/>
              </w:rPr>
              <w:t>27</w:t>
            </w:r>
            <w:r>
              <w:rPr>
                <w:noProof/>
                <w:webHidden/>
              </w:rPr>
              <w:fldChar w:fldCharType="end"/>
            </w:r>
          </w:hyperlink>
        </w:p>
        <w:p>
          <w:pPr>
            <w:pStyle w:val="Sumrio2"/>
            <w:tabs>
              <w:tab w:val="right" w:leader="dot" w:pos="9627"/>
            </w:tabs>
            <w:rPr>
              <w:rFonts w:cstheme="minorBidi"/>
              <w:noProof/>
            </w:rPr>
          </w:pPr>
          <w:hyperlink w:anchor="_Toc41376181" w:history="1">
            <w:r>
              <w:rPr>
                <w:rStyle w:val="Hyperlink"/>
                <w:noProof/>
              </w:rPr>
              <w:t>24.6. Receitas Financeiras</w:t>
            </w:r>
            <w:r>
              <w:rPr>
                <w:noProof/>
                <w:webHidden/>
              </w:rPr>
              <w:tab/>
            </w:r>
            <w:r>
              <w:rPr>
                <w:noProof/>
                <w:webHidden/>
              </w:rPr>
              <w:fldChar w:fldCharType="begin"/>
            </w:r>
            <w:r>
              <w:rPr>
                <w:noProof/>
                <w:webHidden/>
              </w:rPr>
              <w:instrText xml:space="preserve"> PAGEREF _Toc41376181 \h </w:instrText>
            </w:r>
            <w:r>
              <w:rPr>
                <w:noProof/>
                <w:webHidden/>
              </w:rPr>
            </w:r>
            <w:r>
              <w:rPr>
                <w:noProof/>
                <w:webHidden/>
              </w:rPr>
              <w:fldChar w:fldCharType="separate"/>
            </w:r>
            <w:r>
              <w:rPr>
                <w:noProof/>
                <w:webHidden/>
              </w:rPr>
              <w:t>28</w:t>
            </w:r>
            <w:r>
              <w:rPr>
                <w:noProof/>
                <w:webHidden/>
              </w:rPr>
              <w:fldChar w:fldCharType="end"/>
            </w:r>
          </w:hyperlink>
        </w:p>
        <w:p>
          <w:pPr>
            <w:pStyle w:val="Sumrio3"/>
            <w:tabs>
              <w:tab w:val="right" w:leader="dot" w:pos="9627"/>
            </w:tabs>
            <w:rPr>
              <w:rFonts w:cstheme="minorBidi"/>
              <w:noProof/>
            </w:rPr>
          </w:pPr>
          <w:hyperlink w:anchor="_Toc41376182" w:history="1">
            <w:r>
              <w:rPr>
                <w:rStyle w:val="Hyperlink"/>
                <w:noProof/>
              </w:rPr>
              <w:t>24.6.1. Juros Recebidos e Multas</w:t>
            </w:r>
            <w:r>
              <w:rPr>
                <w:noProof/>
                <w:webHidden/>
              </w:rPr>
              <w:tab/>
            </w:r>
            <w:r>
              <w:rPr>
                <w:noProof/>
                <w:webHidden/>
              </w:rPr>
              <w:fldChar w:fldCharType="begin"/>
            </w:r>
            <w:r>
              <w:rPr>
                <w:noProof/>
                <w:webHidden/>
              </w:rPr>
              <w:instrText xml:space="preserve"> PAGEREF _Toc41376182 \h </w:instrText>
            </w:r>
            <w:r>
              <w:rPr>
                <w:noProof/>
                <w:webHidden/>
              </w:rPr>
            </w:r>
            <w:r>
              <w:rPr>
                <w:noProof/>
                <w:webHidden/>
              </w:rPr>
              <w:fldChar w:fldCharType="separate"/>
            </w:r>
            <w:r>
              <w:rPr>
                <w:noProof/>
                <w:webHidden/>
              </w:rPr>
              <w:t>28</w:t>
            </w:r>
            <w:r>
              <w:rPr>
                <w:noProof/>
                <w:webHidden/>
              </w:rPr>
              <w:fldChar w:fldCharType="end"/>
            </w:r>
          </w:hyperlink>
        </w:p>
        <w:p>
          <w:pPr>
            <w:pStyle w:val="Sumrio3"/>
            <w:tabs>
              <w:tab w:val="right" w:leader="dot" w:pos="9627"/>
            </w:tabs>
            <w:rPr>
              <w:rFonts w:cstheme="minorBidi"/>
              <w:noProof/>
            </w:rPr>
          </w:pPr>
          <w:hyperlink w:anchor="_Toc41376183" w:history="1">
            <w:r>
              <w:rPr>
                <w:rStyle w:val="Hyperlink"/>
                <w:noProof/>
              </w:rPr>
              <w:t>24.6.2. Descontos Obtidos</w:t>
            </w:r>
            <w:r>
              <w:rPr>
                <w:noProof/>
                <w:webHidden/>
              </w:rPr>
              <w:tab/>
            </w:r>
            <w:r>
              <w:rPr>
                <w:noProof/>
                <w:webHidden/>
              </w:rPr>
              <w:fldChar w:fldCharType="begin"/>
            </w:r>
            <w:r>
              <w:rPr>
                <w:noProof/>
                <w:webHidden/>
              </w:rPr>
              <w:instrText xml:space="preserve"> PAGEREF _Toc41376183 \h </w:instrText>
            </w:r>
            <w:r>
              <w:rPr>
                <w:noProof/>
                <w:webHidden/>
              </w:rPr>
            </w:r>
            <w:r>
              <w:rPr>
                <w:noProof/>
                <w:webHidden/>
              </w:rPr>
              <w:fldChar w:fldCharType="separate"/>
            </w:r>
            <w:r>
              <w:rPr>
                <w:noProof/>
                <w:webHidden/>
              </w:rPr>
              <w:t>28</w:t>
            </w:r>
            <w:r>
              <w:rPr>
                <w:noProof/>
                <w:webHidden/>
              </w:rPr>
              <w:fldChar w:fldCharType="end"/>
            </w:r>
          </w:hyperlink>
        </w:p>
        <w:p>
          <w:pPr>
            <w:pStyle w:val="Sumrio3"/>
            <w:tabs>
              <w:tab w:val="right" w:leader="dot" w:pos="9627"/>
            </w:tabs>
            <w:rPr>
              <w:rFonts w:cstheme="minorBidi"/>
              <w:noProof/>
            </w:rPr>
          </w:pPr>
          <w:hyperlink w:anchor="_Toc41376184" w:history="1">
            <w:r>
              <w:rPr>
                <w:rStyle w:val="Hyperlink"/>
                <w:noProof/>
              </w:rPr>
              <w:t>24.6.3. Receita sobre Aplicações Financeiras</w:t>
            </w:r>
            <w:r>
              <w:rPr>
                <w:noProof/>
                <w:webHidden/>
              </w:rPr>
              <w:tab/>
            </w:r>
            <w:r>
              <w:rPr>
                <w:noProof/>
                <w:webHidden/>
              </w:rPr>
              <w:fldChar w:fldCharType="begin"/>
            </w:r>
            <w:r>
              <w:rPr>
                <w:noProof/>
                <w:webHidden/>
              </w:rPr>
              <w:instrText xml:space="preserve"> PAGEREF _Toc41376184 \h </w:instrText>
            </w:r>
            <w:r>
              <w:rPr>
                <w:noProof/>
                <w:webHidden/>
              </w:rPr>
            </w:r>
            <w:r>
              <w:rPr>
                <w:noProof/>
                <w:webHidden/>
              </w:rPr>
              <w:fldChar w:fldCharType="separate"/>
            </w:r>
            <w:r>
              <w:rPr>
                <w:noProof/>
                <w:webHidden/>
              </w:rPr>
              <w:t>28</w:t>
            </w:r>
            <w:r>
              <w:rPr>
                <w:noProof/>
                <w:webHidden/>
              </w:rPr>
              <w:fldChar w:fldCharType="end"/>
            </w:r>
          </w:hyperlink>
        </w:p>
        <w:p>
          <w:pPr>
            <w:pStyle w:val="Sumrio1"/>
            <w:rPr>
              <w:rFonts w:eastAsiaTheme="minorEastAsia" w:cstheme="minorBidi"/>
              <w:szCs w:val="22"/>
              <w:lang w:eastAsia="pt-BR"/>
            </w:rPr>
          </w:pPr>
          <w:hyperlink w:anchor="_Toc41376185" w:history="1">
            <w:r>
              <w:rPr>
                <w:rStyle w:val="Hyperlink"/>
              </w:rPr>
              <w:t>25.</w:t>
            </w:r>
            <w:r>
              <w:rPr>
                <w:rFonts w:eastAsiaTheme="minorEastAsia" w:cstheme="minorBidi"/>
                <w:szCs w:val="22"/>
                <w:lang w:eastAsia="pt-BR"/>
              </w:rPr>
              <w:tab/>
            </w:r>
            <w:r>
              <w:rPr>
                <w:rStyle w:val="Hyperlink"/>
              </w:rPr>
              <w:t>EBITDA</w:t>
            </w:r>
            <w:r>
              <w:rPr>
                <w:webHidden/>
              </w:rPr>
              <w:tab/>
            </w:r>
            <w:r>
              <w:rPr>
                <w:webHidden/>
              </w:rPr>
              <w:fldChar w:fldCharType="begin"/>
            </w:r>
            <w:r>
              <w:rPr>
                <w:webHidden/>
              </w:rPr>
              <w:instrText xml:space="preserve"> PAGEREF _Toc41376185 \h </w:instrText>
            </w:r>
            <w:r>
              <w:rPr>
                <w:webHidden/>
              </w:rPr>
            </w:r>
            <w:r>
              <w:rPr>
                <w:webHidden/>
              </w:rPr>
              <w:fldChar w:fldCharType="separate"/>
            </w:r>
            <w:r>
              <w:rPr>
                <w:webHidden/>
              </w:rPr>
              <w:t>28</w:t>
            </w:r>
            <w:r>
              <w:rPr>
                <w:webHidden/>
              </w:rPr>
              <w:fldChar w:fldCharType="end"/>
            </w:r>
          </w:hyperlink>
        </w:p>
        <w:p>
          <w:pPr>
            <w:pStyle w:val="Sumrio1"/>
            <w:rPr>
              <w:rFonts w:eastAsiaTheme="minorEastAsia" w:cstheme="minorBidi"/>
              <w:szCs w:val="22"/>
              <w:lang w:eastAsia="pt-BR"/>
            </w:rPr>
          </w:pPr>
          <w:hyperlink w:anchor="_Toc41376186" w:history="1">
            <w:r>
              <w:rPr>
                <w:rStyle w:val="Hyperlink"/>
              </w:rPr>
              <w:t>26.</w:t>
            </w:r>
            <w:r>
              <w:rPr>
                <w:rFonts w:eastAsiaTheme="minorEastAsia" w:cstheme="minorBidi"/>
                <w:szCs w:val="22"/>
                <w:lang w:eastAsia="pt-BR"/>
              </w:rPr>
              <w:tab/>
            </w:r>
            <w:r>
              <w:rPr>
                <w:rStyle w:val="Hyperlink"/>
              </w:rPr>
              <w:t>REMUNERAÇÃO PAGA A ADMINISTRADORES E EMPREGADOS</w:t>
            </w:r>
            <w:r>
              <w:rPr>
                <w:webHidden/>
              </w:rPr>
              <w:tab/>
            </w:r>
            <w:r>
              <w:rPr>
                <w:webHidden/>
              </w:rPr>
              <w:fldChar w:fldCharType="begin"/>
            </w:r>
            <w:r>
              <w:rPr>
                <w:webHidden/>
              </w:rPr>
              <w:instrText xml:space="preserve"> PAGEREF _Toc41376186 \h </w:instrText>
            </w:r>
            <w:r>
              <w:rPr>
                <w:webHidden/>
              </w:rPr>
            </w:r>
            <w:r>
              <w:rPr>
                <w:webHidden/>
              </w:rPr>
              <w:fldChar w:fldCharType="separate"/>
            </w:r>
            <w:r>
              <w:rPr>
                <w:webHidden/>
              </w:rPr>
              <w:t>28</w:t>
            </w:r>
            <w:r>
              <w:rPr>
                <w:webHidden/>
              </w:rPr>
              <w:fldChar w:fldCharType="end"/>
            </w:r>
          </w:hyperlink>
        </w:p>
        <w:p>
          <w:pPr>
            <w:pStyle w:val="Sumrio1"/>
            <w:rPr>
              <w:rFonts w:eastAsiaTheme="minorEastAsia" w:cstheme="minorBidi"/>
              <w:szCs w:val="22"/>
              <w:lang w:eastAsia="pt-BR"/>
            </w:rPr>
          </w:pPr>
          <w:hyperlink w:anchor="_Toc41376187" w:history="1">
            <w:r>
              <w:rPr>
                <w:rStyle w:val="Hyperlink"/>
              </w:rPr>
              <w:t>27.</w:t>
            </w:r>
            <w:r>
              <w:rPr>
                <w:rFonts w:eastAsiaTheme="minorEastAsia" w:cstheme="minorBidi"/>
                <w:szCs w:val="22"/>
                <w:lang w:eastAsia="pt-BR"/>
              </w:rPr>
              <w:tab/>
            </w:r>
            <w:r>
              <w:rPr>
                <w:rStyle w:val="Hyperlink"/>
              </w:rPr>
              <w:t>INTEGRAÇÃO DO BALANÇO CEAGESP AO DA UNIÃO - BGU</w:t>
            </w:r>
            <w:r>
              <w:rPr>
                <w:webHidden/>
              </w:rPr>
              <w:tab/>
            </w:r>
            <w:r>
              <w:rPr>
                <w:webHidden/>
              </w:rPr>
              <w:fldChar w:fldCharType="begin"/>
            </w:r>
            <w:r>
              <w:rPr>
                <w:webHidden/>
              </w:rPr>
              <w:instrText xml:space="preserve"> PAGEREF _Toc41376187 \h </w:instrText>
            </w:r>
            <w:r>
              <w:rPr>
                <w:webHidden/>
              </w:rPr>
            </w:r>
            <w:r>
              <w:rPr>
                <w:webHidden/>
              </w:rPr>
              <w:fldChar w:fldCharType="separate"/>
            </w:r>
            <w:r>
              <w:rPr>
                <w:webHidden/>
              </w:rPr>
              <w:t>29</w:t>
            </w:r>
            <w:r>
              <w:rPr>
                <w:webHidden/>
              </w:rPr>
              <w:fldChar w:fldCharType="end"/>
            </w:r>
          </w:hyperlink>
        </w:p>
        <w:p>
          <w:pPr>
            <w:pStyle w:val="Sumrio1"/>
            <w:rPr>
              <w:rFonts w:eastAsiaTheme="minorEastAsia" w:cstheme="minorBidi"/>
              <w:szCs w:val="22"/>
              <w:lang w:eastAsia="pt-BR"/>
            </w:rPr>
          </w:pPr>
          <w:hyperlink w:anchor="_Toc41376188" w:history="1">
            <w:r>
              <w:rPr>
                <w:rStyle w:val="Hyperlink"/>
              </w:rPr>
              <w:t>28.</w:t>
            </w:r>
            <w:r>
              <w:rPr>
                <w:rFonts w:eastAsiaTheme="minorEastAsia" w:cstheme="minorBidi"/>
                <w:szCs w:val="22"/>
                <w:lang w:eastAsia="pt-BR"/>
              </w:rPr>
              <w:tab/>
            </w:r>
            <w:r>
              <w:rPr>
                <w:rStyle w:val="Hyperlink"/>
              </w:rPr>
              <w:t>SEGURO</w:t>
            </w:r>
            <w:r>
              <w:rPr>
                <w:webHidden/>
              </w:rPr>
              <w:tab/>
            </w:r>
            <w:r>
              <w:rPr>
                <w:webHidden/>
              </w:rPr>
              <w:fldChar w:fldCharType="begin"/>
            </w:r>
            <w:r>
              <w:rPr>
                <w:webHidden/>
              </w:rPr>
              <w:instrText xml:space="preserve"> PAGEREF _Toc41376188 \h </w:instrText>
            </w:r>
            <w:r>
              <w:rPr>
                <w:webHidden/>
              </w:rPr>
            </w:r>
            <w:r>
              <w:rPr>
                <w:webHidden/>
              </w:rPr>
              <w:fldChar w:fldCharType="separate"/>
            </w:r>
            <w:r>
              <w:rPr>
                <w:webHidden/>
              </w:rPr>
              <w:t>29</w:t>
            </w:r>
            <w:r>
              <w:rPr>
                <w:webHidden/>
              </w:rPr>
              <w:fldChar w:fldCharType="end"/>
            </w:r>
          </w:hyperlink>
        </w:p>
        <w:p>
          <w:pPr>
            <w:pStyle w:val="Sumrio1"/>
            <w:rPr>
              <w:rFonts w:eastAsiaTheme="minorEastAsia" w:cstheme="minorBidi"/>
              <w:szCs w:val="22"/>
              <w:lang w:eastAsia="pt-BR"/>
            </w:rPr>
          </w:pPr>
          <w:hyperlink w:anchor="_Toc41376189" w:history="1">
            <w:r>
              <w:rPr>
                <w:rStyle w:val="Hyperlink"/>
              </w:rPr>
              <w:t>29.</w:t>
            </w:r>
            <w:r>
              <w:rPr>
                <w:rFonts w:eastAsiaTheme="minorEastAsia" w:cstheme="minorBidi"/>
                <w:szCs w:val="22"/>
                <w:lang w:eastAsia="pt-BR"/>
              </w:rPr>
              <w:tab/>
            </w:r>
            <w:r>
              <w:rPr>
                <w:rStyle w:val="Hyperlink"/>
              </w:rPr>
              <w:t>RESPONSABILIDADES SOBRE DEPÓSITOS EM GARANTIAS</w:t>
            </w:r>
            <w:r>
              <w:rPr>
                <w:webHidden/>
              </w:rPr>
              <w:tab/>
            </w:r>
            <w:r>
              <w:rPr>
                <w:webHidden/>
              </w:rPr>
              <w:fldChar w:fldCharType="begin"/>
            </w:r>
            <w:r>
              <w:rPr>
                <w:webHidden/>
              </w:rPr>
              <w:instrText xml:space="preserve"> PAGEREF _Toc41376189 \h </w:instrText>
            </w:r>
            <w:r>
              <w:rPr>
                <w:webHidden/>
              </w:rPr>
            </w:r>
            <w:r>
              <w:rPr>
                <w:webHidden/>
              </w:rPr>
              <w:fldChar w:fldCharType="separate"/>
            </w:r>
            <w:r>
              <w:rPr>
                <w:webHidden/>
              </w:rPr>
              <w:t>29</w:t>
            </w:r>
            <w:r>
              <w:rPr>
                <w:webHidden/>
              </w:rPr>
              <w:fldChar w:fldCharType="end"/>
            </w:r>
          </w:hyperlink>
        </w:p>
        <w:p>
          <w:pPr>
            <w:pStyle w:val="Sumrio1"/>
            <w:rPr>
              <w:rFonts w:eastAsiaTheme="minorEastAsia" w:cstheme="minorBidi"/>
              <w:szCs w:val="22"/>
              <w:lang w:eastAsia="pt-BR"/>
            </w:rPr>
          </w:pPr>
          <w:hyperlink w:anchor="_Toc41376190" w:history="1">
            <w:r>
              <w:rPr>
                <w:rStyle w:val="Hyperlink"/>
              </w:rPr>
              <w:t>30.</w:t>
            </w:r>
            <w:r>
              <w:rPr>
                <w:rFonts w:eastAsiaTheme="minorEastAsia" w:cstheme="minorBidi"/>
                <w:szCs w:val="22"/>
                <w:lang w:eastAsia="pt-BR"/>
              </w:rPr>
              <w:tab/>
            </w:r>
            <w:r>
              <w:rPr>
                <w:rStyle w:val="Hyperlink"/>
              </w:rPr>
              <w:t>IMPOSTO DE RENDA E CONTRIBUIÇÃO SOCIAL SOBRE O LUCRO</w:t>
            </w:r>
            <w:r>
              <w:rPr>
                <w:webHidden/>
              </w:rPr>
              <w:tab/>
            </w:r>
            <w:r>
              <w:rPr>
                <w:webHidden/>
              </w:rPr>
              <w:fldChar w:fldCharType="begin"/>
            </w:r>
            <w:r>
              <w:rPr>
                <w:webHidden/>
              </w:rPr>
              <w:instrText xml:space="preserve"> PAGEREF _Toc41376190 \h </w:instrText>
            </w:r>
            <w:r>
              <w:rPr>
                <w:webHidden/>
              </w:rPr>
            </w:r>
            <w:r>
              <w:rPr>
                <w:webHidden/>
              </w:rPr>
              <w:fldChar w:fldCharType="separate"/>
            </w:r>
            <w:r>
              <w:rPr>
                <w:webHidden/>
              </w:rPr>
              <w:t>29</w:t>
            </w:r>
            <w:r>
              <w:rPr>
                <w:webHidden/>
              </w:rPr>
              <w:fldChar w:fldCharType="end"/>
            </w:r>
          </w:hyperlink>
        </w:p>
        <w:p>
          <w:pPr>
            <w:pStyle w:val="Sumrio1"/>
            <w:rPr>
              <w:rFonts w:eastAsiaTheme="minorEastAsia" w:cstheme="minorBidi"/>
              <w:szCs w:val="22"/>
              <w:lang w:eastAsia="pt-BR"/>
            </w:rPr>
          </w:pPr>
          <w:hyperlink w:anchor="_Toc41376191" w:history="1">
            <w:r>
              <w:rPr>
                <w:rStyle w:val="Hyperlink"/>
              </w:rPr>
              <w:t>31. PARTES RELACIONADAS</w:t>
            </w:r>
            <w:r>
              <w:rPr>
                <w:webHidden/>
              </w:rPr>
              <w:tab/>
            </w:r>
            <w:r>
              <w:rPr>
                <w:webHidden/>
              </w:rPr>
              <w:fldChar w:fldCharType="begin"/>
            </w:r>
            <w:r>
              <w:rPr>
                <w:webHidden/>
              </w:rPr>
              <w:instrText xml:space="preserve"> PAGEREF _Toc41376191 \h </w:instrText>
            </w:r>
            <w:r>
              <w:rPr>
                <w:webHidden/>
              </w:rPr>
            </w:r>
            <w:r>
              <w:rPr>
                <w:webHidden/>
              </w:rPr>
              <w:fldChar w:fldCharType="separate"/>
            </w:r>
            <w:r>
              <w:rPr>
                <w:webHidden/>
              </w:rPr>
              <w:t>30</w:t>
            </w:r>
            <w:r>
              <w:rPr>
                <w:webHidden/>
              </w:rPr>
              <w:fldChar w:fldCharType="end"/>
            </w:r>
          </w:hyperlink>
        </w:p>
        <w:p>
          <w:pPr>
            <w:pStyle w:val="Sumrio3"/>
            <w:tabs>
              <w:tab w:val="right" w:leader="dot" w:pos="9627"/>
            </w:tabs>
            <w:rPr>
              <w:rFonts w:cstheme="minorBidi"/>
              <w:noProof/>
            </w:rPr>
          </w:pPr>
          <w:hyperlink w:anchor="_Toc41376192" w:history="1">
            <w:r>
              <w:rPr>
                <w:rStyle w:val="Hyperlink"/>
                <w:noProof/>
              </w:rPr>
              <w:t>31.1. Entidade Controladora</w:t>
            </w:r>
            <w:r>
              <w:rPr>
                <w:noProof/>
                <w:webHidden/>
              </w:rPr>
              <w:tab/>
            </w:r>
            <w:r>
              <w:rPr>
                <w:noProof/>
                <w:webHidden/>
              </w:rPr>
              <w:fldChar w:fldCharType="begin"/>
            </w:r>
            <w:r>
              <w:rPr>
                <w:noProof/>
                <w:webHidden/>
              </w:rPr>
              <w:instrText xml:space="preserve"> PAGEREF _Toc41376192 \h </w:instrText>
            </w:r>
            <w:r>
              <w:rPr>
                <w:noProof/>
                <w:webHidden/>
              </w:rPr>
            </w:r>
            <w:r>
              <w:rPr>
                <w:noProof/>
                <w:webHidden/>
              </w:rPr>
              <w:fldChar w:fldCharType="separate"/>
            </w:r>
            <w:r>
              <w:rPr>
                <w:noProof/>
                <w:webHidden/>
              </w:rPr>
              <w:t>31</w:t>
            </w:r>
            <w:r>
              <w:rPr>
                <w:noProof/>
                <w:webHidden/>
              </w:rPr>
              <w:fldChar w:fldCharType="end"/>
            </w:r>
          </w:hyperlink>
        </w:p>
        <w:p>
          <w:pPr>
            <w:pStyle w:val="Sumrio1"/>
            <w:rPr>
              <w:rFonts w:eastAsiaTheme="minorEastAsia" w:cstheme="minorBidi"/>
              <w:szCs w:val="22"/>
              <w:lang w:eastAsia="pt-BR"/>
            </w:rPr>
          </w:pPr>
          <w:hyperlink w:anchor="_Toc41376193" w:history="1">
            <w:r>
              <w:rPr>
                <w:rStyle w:val="Hyperlink"/>
              </w:rPr>
              <w:t>32.</w:t>
            </w:r>
            <w:r>
              <w:rPr>
                <w:rFonts w:eastAsiaTheme="minorEastAsia" w:cstheme="minorBidi"/>
                <w:szCs w:val="22"/>
                <w:lang w:eastAsia="pt-BR"/>
              </w:rPr>
              <w:tab/>
            </w:r>
            <w:r>
              <w:rPr>
                <w:rStyle w:val="Hyperlink"/>
              </w:rPr>
              <w:t>INSTRUMENTOS FINANCEIROS E GESTÃO DE RISCOS</w:t>
            </w:r>
            <w:r>
              <w:rPr>
                <w:webHidden/>
              </w:rPr>
              <w:tab/>
            </w:r>
            <w:r>
              <w:rPr>
                <w:webHidden/>
              </w:rPr>
              <w:fldChar w:fldCharType="begin"/>
            </w:r>
            <w:r>
              <w:rPr>
                <w:webHidden/>
              </w:rPr>
              <w:instrText xml:space="preserve"> PAGEREF _Toc41376193 \h </w:instrText>
            </w:r>
            <w:r>
              <w:rPr>
                <w:webHidden/>
              </w:rPr>
            </w:r>
            <w:r>
              <w:rPr>
                <w:webHidden/>
              </w:rPr>
              <w:fldChar w:fldCharType="separate"/>
            </w:r>
            <w:r>
              <w:rPr>
                <w:webHidden/>
              </w:rPr>
              <w:t>31</w:t>
            </w:r>
            <w:r>
              <w:rPr>
                <w:webHidden/>
              </w:rPr>
              <w:fldChar w:fldCharType="end"/>
            </w:r>
          </w:hyperlink>
        </w:p>
        <w:p>
          <w:pPr>
            <w:pStyle w:val="Sumrio2"/>
            <w:tabs>
              <w:tab w:val="right" w:leader="dot" w:pos="9627"/>
            </w:tabs>
            <w:rPr>
              <w:rFonts w:cstheme="minorBidi"/>
              <w:noProof/>
            </w:rPr>
          </w:pPr>
          <w:hyperlink w:anchor="_Toc41376194" w:history="1">
            <w:r>
              <w:rPr>
                <w:rStyle w:val="Hyperlink"/>
                <w:noProof/>
              </w:rPr>
              <w:t>32.1 Gestão de Riscos</w:t>
            </w:r>
            <w:r>
              <w:rPr>
                <w:noProof/>
                <w:webHidden/>
              </w:rPr>
              <w:tab/>
            </w:r>
            <w:r>
              <w:rPr>
                <w:noProof/>
                <w:webHidden/>
              </w:rPr>
              <w:fldChar w:fldCharType="begin"/>
            </w:r>
            <w:r>
              <w:rPr>
                <w:noProof/>
                <w:webHidden/>
              </w:rPr>
              <w:instrText xml:space="preserve"> PAGEREF _Toc41376194 \h </w:instrText>
            </w:r>
            <w:r>
              <w:rPr>
                <w:noProof/>
                <w:webHidden/>
              </w:rPr>
            </w:r>
            <w:r>
              <w:rPr>
                <w:noProof/>
                <w:webHidden/>
              </w:rPr>
              <w:fldChar w:fldCharType="separate"/>
            </w:r>
            <w:r>
              <w:rPr>
                <w:noProof/>
                <w:webHidden/>
              </w:rPr>
              <w:t>31</w:t>
            </w:r>
            <w:r>
              <w:rPr>
                <w:noProof/>
                <w:webHidden/>
              </w:rPr>
              <w:fldChar w:fldCharType="end"/>
            </w:r>
          </w:hyperlink>
        </w:p>
        <w:p>
          <w:pPr>
            <w:pStyle w:val="Sumrio3"/>
            <w:tabs>
              <w:tab w:val="right" w:leader="dot" w:pos="9627"/>
            </w:tabs>
            <w:rPr>
              <w:rFonts w:cstheme="minorBidi"/>
              <w:noProof/>
            </w:rPr>
          </w:pPr>
          <w:hyperlink w:anchor="_Toc41376195" w:history="1">
            <w:r>
              <w:rPr>
                <w:rStyle w:val="Hyperlink"/>
                <w:noProof/>
              </w:rPr>
              <w:t>32.1.1. Risco de liquidez</w:t>
            </w:r>
            <w:r>
              <w:rPr>
                <w:noProof/>
                <w:webHidden/>
              </w:rPr>
              <w:tab/>
            </w:r>
            <w:r>
              <w:rPr>
                <w:noProof/>
                <w:webHidden/>
              </w:rPr>
              <w:fldChar w:fldCharType="begin"/>
            </w:r>
            <w:r>
              <w:rPr>
                <w:noProof/>
                <w:webHidden/>
              </w:rPr>
              <w:instrText xml:space="preserve"> PAGEREF _Toc41376195 \h </w:instrText>
            </w:r>
            <w:r>
              <w:rPr>
                <w:noProof/>
                <w:webHidden/>
              </w:rPr>
            </w:r>
            <w:r>
              <w:rPr>
                <w:noProof/>
                <w:webHidden/>
              </w:rPr>
              <w:fldChar w:fldCharType="separate"/>
            </w:r>
            <w:r>
              <w:rPr>
                <w:noProof/>
                <w:webHidden/>
              </w:rPr>
              <w:t>31</w:t>
            </w:r>
            <w:r>
              <w:rPr>
                <w:noProof/>
                <w:webHidden/>
              </w:rPr>
              <w:fldChar w:fldCharType="end"/>
            </w:r>
          </w:hyperlink>
        </w:p>
        <w:p>
          <w:pPr>
            <w:pStyle w:val="Sumrio1"/>
            <w:rPr>
              <w:rFonts w:eastAsiaTheme="minorEastAsia" w:cstheme="minorBidi"/>
              <w:szCs w:val="22"/>
              <w:lang w:eastAsia="pt-BR"/>
            </w:rPr>
          </w:pPr>
          <w:hyperlink w:anchor="_Toc41376196" w:history="1">
            <w:r>
              <w:rPr>
                <w:rStyle w:val="Hyperlink"/>
              </w:rPr>
              <w:t>33. INCLUSÃO DA CEAGESP NO PND</w:t>
            </w:r>
            <w:r>
              <w:rPr>
                <w:webHidden/>
              </w:rPr>
              <w:tab/>
            </w:r>
            <w:r>
              <w:rPr>
                <w:webHidden/>
              </w:rPr>
              <w:fldChar w:fldCharType="begin"/>
            </w:r>
            <w:r>
              <w:rPr>
                <w:webHidden/>
              </w:rPr>
              <w:instrText xml:space="preserve"> PAGEREF _Toc41376196 \h </w:instrText>
            </w:r>
            <w:r>
              <w:rPr>
                <w:webHidden/>
              </w:rPr>
            </w:r>
            <w:r>
              <w:rPr>
                <w:webHidden/>
              </w:rPr>
              <w:fldChar w:fldCharType="separate"/>
            </w:r>
            <w:r>
              <w:rPr>
                <w:webHidden/>
              </w:rPr>
              <w:t>32</w:t>
            </w:r>
            <w:r>
              <w:rPr>
                <w:webHidden/>
              </w:rPr>
              <w:fldChar w:fldCharType="end"/>
            </w:r>
          </w:hyperlink>
        </w:p>
        <w:p>
          <w:pPr>
            <w:pStyle w:val="Sumrio1"/>
            <w:rPr>
              <w:rFonts w:eastAsiaTheme="minorEastAsia" w:cstheme="minorBidi"/>
              <w:szCs w:val="22"/>
              <w:lang w:eastAsia="pt-BR"/>
            </w:rPr>
          </w:pPr>
          <w:hyperlink w:anchor="_Toc41376197" w:history="1">
            <w:r>
              <w:rPr>
                <w:rStyle w:val="Hyperlink"/>
              </w:rPr>
              <w:t>34. IMPACTOS DA ENCHENTE E DA PANDEMIA DE COVID-19</w:t>
            </w:r>
            <w:r>
              <w:rPr>
                <w:webHidden/>
              </w:rPr>
              <w:tab/>
            </w:r>
            <w:r>
              <w:rPr>
                <w:webHidden/>
              </w:rPr>
              <w:fldChar w:fldCharType="begin"/>
            </w:r>
            <w:r>
              <w:rPr>
                <w:webHidden/>
              </w:rPr>
              <w:instrText xml:space="preserve"> PAGEREF _Toc41376197 \h </w:instrText>
            </w:r>
            <w:r>
              <w:rPr>
                <w:webHidden/>
              </w:rPr>
            </w:r>
            <w:r>
              <w:rPr>
                <w:webHidden/>
              </w:rPr>
              <w:fldChar w:fldCharType="separate"/>
            </w:r>
            <w:r>
              <w:rPr>
                <w:webHidden/>
              </w:rPr>
              <w:t>32</w:t>
            </w:r>
            <w:r>
              <w:rPr>
                <w:webHidden/>
              </w:rPr>
              <w:fldChar w:fldCharType="end"/>
            </w:r>
          </w:hyperlink>
        </w:p>
        <w:p>
          <w:pPr>
            <w:pStyle w:val="Sumrio1"/>
            <w:rPr>
              <w:rFonts w:eastAsiaTheme="minorEastAsia" w:cstheme="minorBidi"/>
              <w:szCs w:val="22"/>
              <w:lang w:eastAsia="pt-BR"/>
            </w:rPr>
          </w:pPr>
          <w:hyperlink w:anchor="_Toc41376198" w:history="1">
            <w:r>
              <w:rPr>
                <w:rStyle w:val="Hyperlink"/>
              </w:rPr>
              <w:t>35. DIRIGENTES E CONTADORA</w:t>
            </w:r>
            <w:r>
              <w:rPr>
                <w:webHidden/>
              </w:rPr>
              <w:tab/>
            </w:r>
            <w:r>
              <w:rPr>
                <w:webHidden/>
              </w:rPr>
              <w:fldChar w:fldCharType="begin"/>
            </w:r>
            <w:r>
              <w:rPr>
                <w:webHidden/>
              </w:rPr>
              <w:instrText xml:space="preserve"> PAGEREF _Toc41376198 \h </w:instrText>
            </w:r>
            <w:r>
              <w:rPr>
                <w:webHidden/>
              </w:rPr>
            </w:r>
            <w:r>
              <w:rPr>
                <w:webHidden/>
              </w:rPr>
              <w:fldChar w:fldCharType="separate"/>
            </w:r>
            <w:r>
              <w:rPr>
                <w:webHidden/>
              </w:rPr>
              <w:t>36</w:t>
            </w:r>
            <w:r>
              <w:rPr>
                <w:webHidden/>
              </w:rPr>
              <w:fldChar w:fldCharType="end"/>
            </w:r>
          </w:hyperlink>
        </w:p>
        <w:p>
          <w:pPr>
            <w:pStyle w:val="Sumrio2"/>
            <w:tabs>
              <w:tab w:val="right" w:leader="dot" w:pos="9627"/>
            </w:tabs>
            <w:rPr>
              <w:rFonts w:cstheme="minorBidi"/>
              <w:noProof/>
            </w:rPr>
          </w:pPr>
          <w:hyperlink w:anchor="_Toc41376199" w:history="1">
            <w:r>
              <w:rPr>
                <w:rStyle w:val="Hyperlink"/>
                <w:rFonts w:ascii="Times New Roman" w:hAnsi="Times New Roman"/>
                <w:noProof/>
                <w:w w:val="103"/>
              </w:rPr>
              <w:t>Relatório dos auditores</w:t>
            </w:r>
            <w:r>
              <w:rPr>
                <w:rStyle w:val="Hyperlink"/>
                <w:rFonts w:ascii="Times New Roman" w:hAnsi="Times New Roman"/>
                <w:noProof/>
                <w:w w:val="103"/>
              </w:rPr>
              <w:t xml:space="preserve"> </w:t>
            </w:r>
            <w:r>
              <w:rPr>
                <w:rStyle w:val="Hyperlink"/>
                <w:rFonts w:ascii="Times New Roman" w:hAnsi="Times New Roman"/>
                <w:noProof/>
                <w:w w:val="103"/>
              </w:rPr>
              <w:t>independentes sobre a revisão das informações contábeis intermediárias</w:t>
            </w:r>
            <w:r>
              <w:rPr>
                <w:noProof/>
                <w:webHidden/>
              </w:rPr>
              <w:tab/>
            </w:r>
            <w:r>
              <w:rPr>
                <w:noProof/>
                <w:webHidden/>
              </w:rPr>
              <w:fldChar w:fldCharType="begin"/>
            </w:r>
            <w:r>
              <w:rPr>
                <w:noProof/>
                <w:webHidden/>
              </w:rPr>
              <w:instrText xml:space="preserve"> PAGEREF _Toc41376199 \h </w:instrText>
            </w:r>
            <w:r>
              <w:rPr>
                <w:noProof/>
                <w:webHidden/>
              </w:rPr>
            </w:r>
            <w:r>
              <w:rPr>
                <w:noProof/>
                <w:webHidden/>
              </w:rPr>
              <w:fldChar w:fldCharType="separate"/>
            </w:r>
            <w:r>
              <w:rPr>
                <w:noProof/>
                <w:webHidden/>
              </w:rPr>
              <w:t>37</w:t>
            </w:r>
            <w:r>
              <w:rPr>
                <w:noProof/>
                <w:webHidden/>
              </w:rPr>
              <w:fldChar w:fldCharType="end"/>
            </w:r>
          </w:hyperlink>
        </w:p>
        <w:p>
          <w:r>
            <w:rPr>
              <w:b/>
              <w:bCs/>
            </w:rPr>
            <w:fldChar w:fldCharType="end"/>
          </w:r>
        </w:p>
      </w:sdtContent>
    </w:sdt>
    <w:p>
      <w:pPr>
        <w:rPr>
          <w:rFonts w:cs="Arial"/>
          <w:szCs w:val="22"/>
        </w:rPr>
      </w:pPr>
    </w:p>
    <w:p>
      <w:pPr>
        <w:rPr>
          <w:rFonts w:cs="Arial"/>
          <w:szCs w:val="22"/>
        </w:rPr>
      </w:pPr>
    </w:p>
    <w:p>
      <w:pPr>
        <w:rPr>
          <w:rFonts w:cs="Arial"/>
          <w:b/>
          <w:szCs w:val="22"/>
        </w:rPr>
      </w:pPr>
    </w:p>
    <w:p>
      <w:pPr>
        <w:rPr>
          <w:rFonts w:cs="Arial"/>
          <w:szCs w:val="22"/>
        </w:rPr>
      </w:pPr>
    </w:p>
    <w:p>
      <w:pPr>
        <w:rPr>
          <w:rFonts w:cs="Arial"/>
          <w:b/>
          <w:szCs w:val="24"/>
        </w:rPr>
      </w:pPr>
    </w:p>
    <w:p>
      <w:pPr>
        <w:rPr>
          <w:rFonts w:cs="Arial"/>
          <w:b/>
          <w:szCs w:val="24"/>
        </w:rPr>
      </w:pPr>
    </w:p>
    <w:p>
      <w:pPr>
        <w:rPr>
          <w:rFonts w:cs="Arial"/>
          <w:b/>
          <w:szCs w:val="24"/>
        </w:rPr>
      </w:pPr>
    </w:p>
    <w:p>
      <w:pPr>
        <w:rPr>
          <w:rFonts w:cs="Arial"/>
          <w:b/>
          <w:szCs w:val="24"/>
        </w:rPr>
      </w:pPr>
    </w:p>
    <w:p>
      <w:pPr>
        <w:rPr>
          <w:rFonts w:cs="Arial"/>
          <w:b/>
          <w:szCs w:val="24"/>
        </w:rPr>
      </w:pPr>
    </w:p>
    <w:p>
      <w:pPr>
        <w:rPr>
          <w:rFonts w:cs="Arial"/>
          <w:b/>
          <w:szCs w:val="24"/>
        </w:rPr>
      </w:pPr>
    </w:p>
    <w:p/>
    <w:p/>
    <w:p>
      <w:pPr>
        <w:sectPr>
          <w:headerReference w:type="default" r:id="rId12"/>
          <w:footerReference w:type="default" r:id="rId13"/>
          <w:footnotePr>
            <w:pos w:val="beneathText"/>
          </w:footnotePr>
          <w:pgSz w:w="11905" w:h="16837"/>
          <w:pgMar w:top="2268" w:right="1134" w:bottom="1134" w:left="1134" w:header="720" w:footer="720" w:gutter="0"/>
          <w:pgNumType w:start="1"/>
          <w:cols w:space="720"/>
          <w:docGrid w:linePitch="360"/>
        </w:sectPr>
      </w:pPr>
    </w:p>
    <w:tbl>
      <w:tblPr>
        <w:tblW w:w="14322" w:type="dxa"/>
        <w:jc w:val="center"/>
        <w:tblLayout w:type="fixed"/>
        <w:tblCellMar>
          <w:left w:w="28" w:type="dxa"/>
          <w:right w:w="28" w:type="dxa"/>
        </w:tblCellMar>
        <w:tblLook w:val="0000" w:firstRow="0" w:lastRow="0" w:firstColumn="0" w:lastColumn="0" w:noHBand="0" w:noVBand="0"/>
      </w:tblPr>
      <w:tblGrid>
        <w:gridCol w:w="4505"/>
        <w:gridCol w:w="447"/>
        <w:gridCol w:w="125"/>
        <w:gridCol w:w="20"/>
        <w:gridCol w:w="993"/>
        <w:gridCol w:w="115"/>
        <w:gridCol w:w="991"/>
        <w:gridCol w:w="20"/>
        <w:gridCol w:w="162"/>
        <w:gridCol w:w="20"/>
        <w:gridCol w:w="2662"/>
        <w:gridCol w:w="377"/>
        <w:gridCol w:w="22"/>
        <w:gridCol w:w="464"/>
        <w:gridCol w:w="22"/>
        <w:gridCol w:w="105"/>
        <w:gridCol w:w="1470"/>
        <w:gridCol w:w="171"/>
        <w:gridCol w:w="22"/>
        <w:gridCol w:w="1609"/>
      </w:tblGrid>
      <w:tr>
        <w:trPr>
          <w:trHeight w:val="20"/>
          <w:jc w:val="center"/>
        </w:trPr>
        <w:tc>
          <w:tcPr>
            <w:tcW w:w="14322" w:type="dxa"/>
            <w:gridSpan w:val="20"/>
            <w:tcBorders>
              <w:top w:val="single" w:sz="4" w:space="0" w:color="auto"/>
              <w:left w:val="single" w:sz="4" w:space="0" w:color="auto"/>
              <w:bottom w:val="nil"/>
              <w:right w:val="single" w:sz="4" w:space="0" w:color="auto"/>
            </w:tcBorders>
          </w:tcPr>
          <w:p>
            <w:pPr>
              <w:pStyle w:val="Ttulo2"/>
              <w:ind w:left="0"/>
            </w:pPr>
            <w:bookmarkStart w:id="0" w:name="_Toc41376080"/>
            <w:r>
              <w:lastRenderedPageBreak/>
              <w:t>BALANÇO PATRIMONIAL</w:t>
            </w:r>
            <w:bookmarkEnd w:id="0"/>
          </w:p>
          <w:p>
            <w:pPr>
              <w:rPr>
                <w:sz w:val="20"/>
              </w:rPr>
            </w:pPr>
            <w:r>
              <w:rPr>
                <w:rFonts w:cs="Arial"/>
                <w:b/>
                <w:sz w:val="20"/>
              </w:rPr>
              <w:t>EM 31 DE MARÇO DE 2020 E 31 DE DEZEMBRO DE 2019</w:t>
            </w: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r>
              <w:rPr>
                <w:rFonts w:cs="Arial"/>
                <w:b/>
                <w:bCs/>
                <w:color w:val="000000"/>
                <w:sz w:val="18"/>
                <w:szCs w:val="18"/>
              </w:rPr>
              <w:t>(Em milhares de reais)</w:t>
            </w:r>
          </w:p>
        </w:tc>
        <w:tc>
          <w:tcPr>
            <w:tcW w:w="447" w:type="dxa"/>
            <w:tcBorders>
              <w:top w:val="nil"/>
              <w:left w:val="nil"/>
              <w:right w:val="nil"/>
            </w:tcBorders>
          </w:tcPr>
          <w:p>
            <w:pPr>
              <w:rPr>
                <w:rFonts w:cs="Arial"/>
                <w:bCs/>
                <w:color w:val="000000"/>
                <w:sz w:val="18"/>
                <w:szCs w:val="18"/>
              </w:rPr>
            </w:pPr>
          </w:p>
        </w:tc>
        <w:tc>
          <w:tcPr>
            <w:tcW w:w="125" w:type="dxa"/>
            <w:tcBorders>
              <w:top w:val="nil"/>
              <w:left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Cs/>
                <w:color w:val="000000"/>
                <w:sz w:val="18"/>
                <w:szCs w:val="18"/>
              </w:rPr>
            </w:pPr>
          </w:p>
        </w:tc>
        <w:tc>
          <w:tcPr>
            <w:tcW w:w="486" w:type="dxa"/>
            <w:gridSpan w:val="2"/>
            <w:tcBorders>
              <w:top w:val="nil"/>
              <w:left w:val="nil"/>
              <w:right w:val="nil"/>
            </w:tcBorders>
          </w:tcPr>
          <w:p>
            <w:pPr>
              <w:rPr>
                <w:rFonts w:cs="Arial"/>
                <w:bCs/>
                <w:color w:val="000000"/>
                <w:sz w:val="18"/>
                <w:szCs w:val="18"/>
              </w:rPr>
            </w:pPr>
          </w:p>
        </w:tc>
        <w:tc>
          <w:tcPr>
            <w:tcW w:w="105" w:type="dxa"/>
            <w:tcBorders>
              <w:top w:val="nil"/>
              <w:left w:val="nil"/>
              <w:right w:val="nil"/>
            </w:tcBorders>
          </w:tcPr>
          <w:p>
            <w:pPr>
              <w:rPr>
                <w:rFonts w:cs="Arial"/>
                <w:bCs/>
                <w:color w:val="000000"/>
                <w:sz w:val="18"/>
                <w:szCs w:val="18"/>
              </w:rPr>
            </w:pPr>
          </w:p>
        </w:tc>
        <w:tc>
          <w:tcPr>
            <w:tcW w:w="1470" w:type="dxa"/>
            <w:tcBorders>
              <w:top w:val="nil"/>
              <w:left w:val="nil"/>
              <w:bottom w:val="nil"/>
              <w:right w:val="nil"/>
            </w:tcBorders>
            <w:vAlign w:val="center"/>
          </w:tcPr>
          <w:p>
            <w:pPr>
              <w:rPr>
                <w:rFonts w:cs="Arial"/>
                <w:bCs/>
                <w:color w:val="000000"/>
                <w:sz w:val="18"/>
                <w:szCs w:val="18"/>
              </w:rPr>
            </w:pPr>
          </w:p>
        </w:tc>
        <w:tc>
          <w:tcPr>
            <w:tcW w:w="171" w:type="dxa"/>
            <w:tcBorders>
              <w:top w:val="nil"/>
              <w:left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cs="Arial"/>
                <w:b/>
                <w:bCs/>
                <w:color w:val="000000"/>
                <w:sz w:val="18"/>
                <w:szCs w:val="18"/>
              </w:rPr>
            </w:pPr>
            <w:r>
              <w:rPr>
                <w:rFonts w:cs="Arial"/>
                <w:b/>
                <w:bCs/>
                <w:color w:val="000000"/>
                <w:sz w:val="18"/>
                <w:szCs w:val="18"/>
              </w:rPr>
              <w:t xml:space="preserve">                                                                                   </w:t>
            </w:r>
          </w:p>
        </w:tc>
        <w:tc>
          <w:tcPr>
            <w:tcW w:w="447" w:type="dxa"/>
            <w:tcBorders>
              <w:top w:val="nil"/>
              <w:left w:val="nil"/>
              <w:right w:val="nil"/>
            </w:tcBorders>
          </w:tcPr>
          <w:p>
            <w:pPr>
              <w:ind w:right="-33"/>
              <w:jc w:val="center"/>
              <w:rPr>
                <w:rFonts w:cs="Arial"/>
                <w:b/>
                <w:bCs/>
                <w:color w:val="000000"/>
                <w:sz w:val="18"/>
                <w:szCs w:val="18"/>
              </w:rPr>
            </w:pPr>
            <w:r>
              <w:rPr>
                <w:rFonts w:cs="Arial"/>
                <w:b/>
                <w:bCs/>
                <w:color w:val="000000"/>
                <w:sz w:val="18"/>
                <w:szCs w:val="18"/>
              </w:rPr>
              <w:t>Nota</w:t>
            </w:r>
          </w:p>
        </w:tc>
        <w:tc>
          <w:tcPr>
            <w:tcW w:w="125" w:type="dxa"/>
            <w:tcBorders>
              <w:top w:val="nil"/>
              <w:left w:val="nil"/>
              <w:right w:val="nil"/>
            </w:tcBorders>
          </w:tcPr>
          <w:p>
            <w:pPr>
              <w:jc w:val="right"/>
              <w:rPr>
                <w:rFonts w:cs="Arial"/>
                <w:b/>
                <w:bCs/>
                <w:color w:val="000000"/>
                <w:sz w:val="18"/>
                <w:szCs w:val="18"/>
              </w:rPr>
            </w:pPr>
          </w:p>
        </w:tc>
        <w:tc>
          <w:tcPr>
            <w:tcW w:w="1013" w:type="dxa"/>
            <w:gridSpan w:val="2"/>
            <w:tcBorders>
              <w:top w:val="nil"/>
              <w:left w:val="nil"/>
              <w:bottom w:val="single" w:sz="2" w:space="0" w:color="000000"/>
              <w:right w:val="nil"/>
            </w:tcBorders>
            <w:vAlign w:val="center"/>
          </w:tcPr>
          <w:p>
            <w:pPr>
              <w:rPr>
                <w:rFonts w:cs="Arial"/>
                <w:b/>
                <w:bCs/>
                <w:color w:val="000000"/>
                <w:sz w:val="18"/>
                <w:szCs w:val="18"/>
              </w:rPr>
            </w:pPr>
            <w:r>
              <w:rPr>
                <w:rFonts w:cs="Arial"/>
                <w:b/>
                <w:bCs/>
                <w:color w:val="000000"/>
                <w:sz w:val="18"/>
                <w:szCs w:val="18"/>
              </w:rPr>
              <w:t>31.03.2020</w:t>
            </w:r>
          </w:p>
        </w:tc>
        <w:tc>
          <w:tcPr>
            <w:tcW w:w="115" w:type="dxa"/>
            <w:tcBorders>
              <w:top w:val="nil"/>
              <w:left w:val="nil"/>
              <w:right w:val="nil"/>
            </w:tcBorders>
          </w:tcPr>
          <w:p>
            <w:pPr>
              <w:jc w:val="right"/>
              <w:rPr>
                <w:rFonts w:cs="Arial"/>
                <w:b/>
                <w:bCs/>
                <w:color w:val="000000"/>
                <w:sz w:val="18"/>
                <w:szCs w:val="18"/>
              </w:rPr>
            </w:pPr>
          </w:p>
        </w:tc>
        <w:tc>
          <w:tcPr>
            <w:tcW w:w="1011" w:type="dxa"/>
            <w:gridSpan w:val="2"/>
            <w:tcBorders>
              <w:top w:val="nil"/>
              <w:left w:val="nil"/>
              <w:bottom w:val="single" w:sz="2" w:space="0" w:color="000000"/>
              <w:right w:val="nil"/>
            </w:tcBorders>
            <w:vAlign w:val="center"/>
          </w:tcPr>
          <w:p>
            <w:pPr>
              <w:jc w:val="right"/>
              <w:rPr>
                <w:rFonts w:cs="Arial"/>
                <w:b/>
                <w:bCs/>
                <w:color w:val="000000"/>
                <w:sz w:val="18"/>
                <w:szCs w:val="18"/>
              </w:rPr>
            </w:pPr>
            <w:r>
              <w:rPr>
                <w:rFonts w:cs="Arial"/>
                <w:b/>
                <w:bCs/>
                <w:color w:val="000000"/>
                <w:sz w:val="18"/>
                <w:szCs w:val="18"/>
              </w:rPr>
              <w:t>31.12.2019</w:t>
            </w:r>
          </w:p>
        </w:tc>
        <w:tc>
          <w:tcPr>
            <w:tcW w:w="182" w:type="dxa"/>
            <w:gridSpan w:val="2"/>
            <w:tcBorders>
              <w:top w:val="nil"/>
              <w:left w:val="nil"/>
              <w:bottom w:val="nil"/>
              <w:right w:val="nil"/>
            </w:tcBorders>
          </w:tcPr>
          <w:p>
            <w:pPr>
              <w:keepNext/>
              <w:tabs>
                <w:tab w:val="left" w:pos="11350"/>
              </w:tabs>
              <w:spacing w:line="200" w:lineRule="atLeast"/>
              <w:ind w:left="435"/>
              <w:outlineLvl w:val="1"/>
              <w:rPr>
                <w:rFonts w:cs="Arial"/>
                <w:b/>
                <w:color w:val="000000"/>
                <w:sz w:val="18"/>
                <w:szCs w:val="18"/>
              </w:rPr>
            </w:pPr>
          </w:p>
        </w:tc>
        <w:tc>
          <w:tcPr>
            <w:tcW w:w="3061" w:type="dxa"/>
            <w:gridSpan w:val="3"/>
            <w:tcBorders>
              <w:top w:val="nil"/>
              <w:left w:val="nil"/>
              <w:bottom w:val="nil"/>
              <w:right w:val="nil"/>
            </w:tcBorders>
            <w:vAlign w:val="center"/>
          </w:tcPr>
          <w:p>
            <w:pPr>
              <w:keepNext/>
              <w:tabs>
                <w:tab w:val="left" w:pos="11350"/>
              </w:tabs>
              <w:spacing w:line="200" w:lineRule="atLeast"/>
              <w:ind w:left="435"/>
              <w:outlineLvl w:val="1"/>
              <w:rPr>
                <w:rFonts w:cs="Arial"/>
                <w:b/>
                <w:color w:val="000000"/>
                <w:sz w:val="18"/>
                <w:szCs w:val="18"/>
              </w:rPr>
            </w:pPr>
            <w:r>
              <w:rPr>
                <w:rFonts w:cs="Arial"/>
                <w:b/>
                <w:color w:val="000000"/>
                <w:sz w:val="18"/>
                <w:szCs w:val="18"/>
              </w:rPr>
              <w:t xml:space="preserve">                                                                                      </w:t>
            </w:r>
          </w:p>
        </w:tc>
        <w:tc>
          <w:tcPr>
            <w:tcW w:w="486" w:type="dxa"/>
            <w:gridSpan w:val="2"/>
            <w:tcBorders>
              <w:top w:val="nil"/>
              <w:left w:val="nil"/>
              <w:right w:val="nil"/>
            </w:tcBorders>
          </w:tcPr>
          <w:p>
            <w:pPr>
              <w:jc w:val="center"/>
              <w:rPr>
                <w:rFonts w:cs="Arial"/>
                <w:b/>
                <w:bCs/>
                <w:color w:val="000000"/>
                <w:sz w:val="18"/>
                <w:szCs w:val="18"/>
              </w:rPr>
            </w:pPr>
            <w:r>
              <w:rPr>
                <w:rFonts w:cs="Arial"/>
                <w:b/>
                <w:bCs/>
                <w:color w:val="000000"/>
                <w:sz w:val="18"/>
                <w:szCs w:val="18"/>
              </w:rPr>
              <w:t>Nota</w:t>
            </w:r>
          </w:p>
        </w:tc>
        <w:tc>
          <w:tcPr>
            <w:tcW w:w="105" w:type="dxa"/>
            <w:tcBorders>
              <w:top w:val="nil"/>
              <w:left w:val="nil"/>
              <w:right w:val="nil"/>
            </w:tcBorders>
          </w:tcPr>
          <w:p>
            <w:pPr>
              <w:jc w:val="right"/>
              <w:rPr>
                <w:rFonts w:cs="Arial"/>
                <w:b/>
                <w:bCs/>
                <w:color w:val="000000"/>
                <w:sz w:val="18"/>
                <w:szCs w:val="18"/>
              </w:rPr>
            </w:pPr>
          </w:p>
        </w:tc>
        <w:tc>
          <w:tcPr>
            <w:tcW w:w="1470" w:type="dxa"/>
            <w:tcBorders>
              <w:top w:val="nil"/>
              <w:left w:val="nil"/>
              <w:bottom w:val="single" w:sz="2" w:space="0" w:color="000000"/>
              <w:right w:val="nil"/>
            </w:tcBorders>
            <w:vAlign w:val="center"/>
          </w:tcPr>
          <w:p>
            <w:pPr>
              <w:jc w:val="right"/>
              <w:rPr>
                <w:rFonts w:cs="Arial"/>
                <w:b/>
                <w:bCs/>
                <w:color w:val="000000"/>
                <w:sz w:val="18"/>
                <w:szCs w:val="18"/>
              </w:rPr>
            </w:pPr>
            <w:r>
              <w:rPr>
                <w:rFonts w:cs="Arial"/>
                <w:b/>
                <w:bCs/>
                <w:color w:val="000000"/>
                <w:sz w:val="18"/>
                <w:szCs w:val="18"/>
              </w:rPr>
              <w:t>31.03.2020</w:t>
            </w:r>
          </w:p>
        </w:tc>
        <w:tc>
          <w:tcPr>
            <w:tcW w:w="171" w:type="dxa"/>
            <w:tcBorders>
              <w:top w:val="nil"/>
              <w:left w:val="nil"/>
              <w:right w:val="nil"/>
            </w:tcBorders>
          </w:tcPr>
          <w:p>
            <w:pPr>
              <w:jc w:val="center"/>
              <w:rPr>
                <w:rFonts w:cs="Arial"/>
                <w:b/>
                <w:bCs/>
                <w:color w:val="000000"/>
                <w:sz w:val="18"/>
                <w:szCs w:val="18"/>
              </w:rPr>
            </w:pPr>
          </w:p>
        </w:tc>
        <w:tc>
          <w:tcPr>
            <w:tcW w:w="1631" w:type="dxa"/>
            <w:gridSpan w:val="2"/>
            <w:tcBorders>
              <w:top w:val="nil"/>
              <w:left w:val="nil"/>
              <w:bottom w:val="single" w:sz="2" w:space="0" w:color="000000"/>
              <w:right w:val="single" w:sz="4" w:space="0" w:color="auto"/>
            </w:tcBorders>
            <w:vAlign w:val="center"/>
          </w:tcPr>
          <w:p>
            <w:pPr>
              <w:jc w:val="right"/>
              <w:rPr>
                <w:rFonts w:cs="Arial"/>
                <w:b/>
                <w:bCs/>
                <w:color w:val="000000"/>
                <w:sz w:val="18"/>
                <w:szCs w:val="18"/>
              </w:rPr>
            </w:pPr>
            <w:r>
              <w:rPr>
                <w:rFonts w:cs="Arial"/>
                <w:b/>
                <w:bCs/>
                <w:color w:val="000000"/>
                <w:sz w:val="18"/>
                <w:szCs w:val="18"/>
              </w:rPr>
              <w:t>31.12.2019</w:t>
            </w: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p>
        </w:tc>
        <w:tc>
          <w:tcPr>
            <w:tcW w:w="447" w:type="dxa"/>
            <w:tcBorders>
              <w:left w:val="nil"/>
              <w:bottom w:val="nil"/>
              <w:right w:val="nil"/>
            </w:tcBorders>
          </w:tcPr>
          <w:p>
            <w:pPr>
              <w:jc w:val="center"/>
              <w:rPr>
                <w:rFonts w:cs="Arial"/>
                <w:bCs/>
                <w:color w:val="000000"/>
                <w:sz w:val="18"/>
                <w:szCs w:val="18"/>
              </w:rPr>
            </w:pPr>
          </w:p>
        </w:tc>
        <w:tc>
          <w:tcPr>
            <w:tcW w:w="125" w:type="dxa"/>
            <w:tcBorders>
              <w:top w:val="nil"/>
              <w:left w:val="nil"/>
              <w:bottom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bottom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jc w:val="right"/>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Cs/>
                <w:color w:val="000000"/>
                <w:sz w:val="18"/>
                <w:szCs w:val="18"/>
              </w:rPr>
            </w:pPr>
          </w:p>
        </w:tc>
        <w:tc>
          <w:tcPr>
            <w:tcW w:w="486" w:type="dxa"/>
            <w:gridSpan w:val="2"/>
            <w:tcBorders>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rPr>
                <w:rFonts w:cs="Arial"/>
                <w:bCs/>
                <w:color w:val="000000"/>
                <w:sz w:val="18"/>
                <w:szCs w:val="18"/>
              </w:rPr>
            </w:pPr>
          </w:p>
        </w:tc>
        <w:tc>
          <w:tcPr>
            <w:tcW w:w="1470" w:type="dxa"/>
            <w:tcBorders>
              <w:top w:val="nil"/>
              <w:left w:val="nil"/>
              <w:bottom w:val="nil"/>
              <w:right w:val="nil"/>
            </w:tcBorders>
            <w:vAlign w:val="center"/>
          </w:tcPr>
          <w:p>
            <w:pPr>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r>
              <w:rPr>
                <w:rFonts w:cs="Arial"/>
                <w:b/>
                <w:bCs/>
                <w:color w:val="000000"/>
                <w:sz w:val="18"/>
                <w:szCs w:val="18"/>
              </w:rPr>
              <w:t>ATIVO</w:t>
            </w:r>
          </w:p>
        </w:tc>
        <w:tc>
          <w:tcPr>
            <w:tcW w:w="447" w:type="dxa"/>
            <w:tcBorders>
              <w:top w:val="nil"/>
              <w:left w:val="nil"/>
              <w:bottom w:val="nil"/>
              <w:right w:val="nil"/>
            </w:tcBorders>
          </w:tcPr>
          <w:p>
            <w:pPr>
              <w:jc w:val="center"/>
              <w:rPr>
                <w:rFonts w:cs="Arial"/>
                <w:bCs/>
                <w:color w:val="000000"/>
                <w:sz w:val="18"/>
                <w:szCs w:val="18"/>
              </w:rPr>
            </w:pPr>
          </w:p>
        </w:tc>
        <w:tc>
          <w:tcPr>
            <w:tcW w:w="125" w:type="dxa"/>
            <w:tcBorders>
              <w:top w:val="nil"/>
              <w:left w:val="nil"/>
              <w:bottom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bottom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
                <w:bCs/>
                <w:color w:val="000000"/>
                <w:sz w:val="18"/>
                <w:szCs w:val="18"/>
              </w:rPr>
            </w:pPr>
            <w:r>
              <w:rPr>
                <w:rFonts w:cs="Arial"/>
                <w:b/>
                <w:bCs/>
                <w:color w:val="000000"/>
                <w:sz w:val="18"/>
                <w:szCs w:val="18"/>
              </w:rPr>
              <w:t>PASSIVO</w:t>
            </w:r>
          </w:p>
        </w:tc>
        <w:tc>
          <w:tcPr>
            <w:tcW w:w="486" w:type="dxa"/>
            <w:gridSpan w:val="2"/>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rPr>
                <w:rFonts w:cs="Arial"/>
                <w:bCs/>
                <w:color w:val="000000"/>
                <w:sz w:val="18"/>
                <w:szCs w:val="18"/>
              </w:rPr>
            </w:pPr>
          </w:p>
        </w:tc>
        <w:tc>
          <w:tcPr>
            <w:tcW w:w="1470" w:type="dxa"/>
            <w:tcBorders>
              <w:top w:val="nil"/>
              <w:left w:val="nil"/>
              <w:bottom w:val="nil"/>
              <w:right w:val="nil"/>
            </w:tcBorders>
            <w:vAlign w:val="center"/>
          </w:tcPr>
          <w:p>
            <w:pPr>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p>
        </w:tc>
        <w:tc>
          <w:tcPr>
            <w:tcW w:w="447" w:type="dxa"/>
            <w:tcBorders>
              <w:top w:val="nil"/>
              <w:left w:val="nil"/>
              <w:bottom w:val="nil"/>
              <w:right w:val="nil"/>
            </w:tcBorders>
          </w:tcPr>
          <w:p>
            <w:pPr>
              <w:jc w:val="center"/>
              <w:rPr>
                <w:rFonts w:cs="Arial"/>
                <w:bCs/>
                <w:color w:val="000000"/>
                <w:sz w:val="18"/>
                <w:szCs w:val="18"/>
              </w:rPr>
            </w:pPr>
          </w:p>
        </w:tc>
        <w:tc>
          <w:tcPr>
            <w:tcW w:w="125" w:type="dxa"/>
            <w:tcBorders>
              <w:top w:val="nil"/>
              <w:left w:val="nil"/>
              <w:bottom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bottom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rPr>
                <w:rFonts w:cs="Arial"/>
                <w:bCs/>
                <w:color w:val="000000"/>
                <w:sz w:val="18"/>
                <w:szCs w:val="18"/>
              </w:rPr>
            </w:pPr>
          </w:p>
        </w:tc>
        <w:tc>
          <w:tcPr>
            <w:tcW w:w="1470" w:type="dxa"/>
            <w:tcBorders>
              <w:top w:val="nil"/>
              <w:left w:val="nil"/>
              <w:bottom w:val="nil"/>
              <w:right w:val="nil"/>
            </w:tcBorders>
            <w:vAlign w:val="center"/>
          </w:tcPr>
          <w:p>
            <w:pPr>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r>
              <w:rPr>
                <w:rFonts w:cs="Arial"/>
                <w:b/>
                <w:bCs/>
                <w:color w:val="000000"/>
                <w:sz w:val="18"/>
                <w:szCs w:val="18"/>
              </w:rPr>
              <w:t>Ativo Circulante</w:t>
            </w:r>
          </w:p>
        </w:tc>
        <w:tc>
          <w:tcPr>
            <w:tcW w:w="447" w:type="dxa"/>
            <w:tcBorders>
              <w:top w:val="nil"/>
              <w:left w:val="nil"/>
              <w:bottom w:val="nil"/>
              <w:right w:val="nil"/>
            </w:tcBorders>
          </w:tcPr>
          <w:p>
            <w:pPr>
              <w:jc w:val="center"/>
              <w:rPr>
                <w:rFonts w:cs="Arial"/>
                <w:bCs/>
                <w:color w:val="000000"/>
                <w:sz w:val="18"/>
                <w:szCs w:val="18"/>
              </w:rPr>
            </w:pPr>
          </w:p>
        </w:tc>
        <w:tc>
          <w:tcPr>
            <w:tcW w:w="125" w:type="dxa"/>
            <w:tcBorders>
              <w:top w:val="nil"/>
              <w:left w:val="nil"/>
              <w:bottom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bottom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
                <w:bCs/>
                <w:color w:val="000000"/>
                <w:sz w:val="18"/>
                <w:szCs w:val="18"/>
              </w:rPr>
            </w:pPr>
            <w:r>
              <w:rPr>
                <w:rFonts w:cs="Arial"/>
                <w:b/>
                <w:bCs/>
                <w:color w:val="000000"/>
                <w:sz w:val="18"/>
                <w:szCs w:val="18"/>
              </w:rPr>
              <w:t>Passivo Circulante</w:t>
            </w:r>
          </w:p>
        </w:tc>
        <w:tc>
          <w:tcPr>
            <w:tcW w:w="486" w:type="dxa"/>
            <w:gridSpan w:val="2"/>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rPr>
                <w:rFonts w:cs="Arial"/>
                <w:bCs/>
                <w:color w:val="000000"/>
                <w:sz w:val="18"/>
                <w:szCs w:val="18"/>
              </w:rPr>
            </w:pPr>
          </w:p>
        </w:tc>
        <w:tc>
          <w:tcPr>
            <w:tcW w:w="1470" w:type="dxa"/>
            <w:tcBorders>
              <w:top w:val="nil"/>
              <w:left w:val="nil"/>
              <w:bottom w:val="nil"/>
              <w:right w:val="nil"/>
            </w:tcBorders>
            <w:vAlign w:val="center"/>
          </w:tcPr>
          <w:p>
            <w:pPr>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p>
        </w:tc>
        <w:tc>
          <w:tcPr>
            <w:tcW w:w="447" w:type="dxa"/>
            <w:tcBorders>
              <w:top w:val="nil"/>
              <w:left w:val="nil"/>
              <w:bottom w:val="nil"/>
              <w:right w:val="nil"/>
            </w:tcBorders>
          </w:tcPr>
          <w:p>
            <w:pPr>
              <w:jc w:val="center"/>
              <w:rPr>
                <w:rFonts w:cs="Arial"/>
                <w:bCs/>
                <w:color w:val="000000"/>
                <w:sz w:val="18"/>
                <w:szCs w:val="18"/>
              </w:rPr>
            </w:pPr>
          </w:p>
        </w:tc>
        <w:tc>
          <w:tcPr>
            <w:tcW w:w="125" w:type="dxa"/>
            <w:tcBorders>
              <w:top w:val="nil"/>
              <w:left w:val="nil"/>
              <w:bottom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bottom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rPr>
                <w:rFonts w:cs="Arial"/>
                <w:bCs/>
                <w:color w:val="000000"/>
                <w:sz w:val="18"/>
                <w:szCs w:val="18"/>
              </w:rPr>
            </w:pPr>
          </w:p>
        </w:tc>
        <w:tc>
          <w:tcPr>
            <w:tcW w:w="182" w:type="dxa"/>
            <w:gridSpan w:val="2"/>
            <w:tcBorders>
              <w:top w:val="nil"/>
              <w:left w:val="nil"/>
              <w:bottom w:val="nil"/>
              <w:right w:val="nil"/>
            </w:tcBorders>
          </w:tcPr>
          <w:p>
            <w:pPr>
              <w:tabs>
                <w:tab w:val="left" w:pos="158"/>
                <w:tab w:val="left" w:pos="771"/>
              </w:tabs>
              <w:rPr>
                <w:rFonts w:cs="Arial"/>
                <w:bCs/>
                <w:color w:val="000000"/>
                <w:sz w:val="18"/>
                <w:szCs w:val="18"/>
              </w:rPr>
            </w:pPr>
          </w:p>
        </w:tc>
        <w:tc>
          <w:tcPr>
            <w:tcW w:w="3061" w:type="dxa"/>
            <w:gridSpan w:val="3"/>
            <w:tcBorders>
              <w:top w:val="nil"/>
              <w:left w:val="nil"/>
              <w:bottom w:val="nil"/>
              <w:right w:val="nil"/>
            </w:tcBorders>
            <w:vAlign w:val="center"/>
          </w:tcPr>
          <w:p>
            <w:pPr>
              <w:tabs>
                <w:tab w:val="left" w:pos="158"/>
                <w:tab w:val="left" w:pos="771"/>
              </w:tabs>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rPr>
                <w:rFonts w:cs="Arial"/>
                <w:bCs/>
                <w:color w:val="000000"/>
                <w:sz w:val="18"/>
                <w:szCs w:val="18"/>
              </w:rPr>
            </w:pPr>
          </w:p>
        </w:tc>
        <w:tc>
          <w:tcPr>
            <w:tcW w:w="1470" w:type="dxa"/>
            <w:tcBorders>
              <w:top w:val="nil"/>
              <w:left w:val="nil"/>
              <w:bottom w:val="nil"/>
              <w:right w:val="nil"/>
            </w:tcBorders>
            <w:vAlign w:val="center"/>
          </w:tcPr>
          <w:p>
            <w:pPr>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r>
              <w:rPr>
                <w:rFonts w:cs="Arial"/>
                <w:bCs/>
                <w:color w:val="000000"/>
                <w:sz w:val="18"/>
                <w:szCs w:val="18"/>
              </w:rPr>
              <w:t>Caixa e equivalentes de caixa</w:t>
            </w:r>
          </w:p>
        </w:tc>
        <w:tc>
          <w:tcPr>
            <w:tcW w:w="447" w:type="dxa"/>
            <w:tcBorders>
              <w:top w:val="nil"/>
              <w:left w:val="nil"/>
              <w:bottom w:val="nil"/>
              <w:right w:val="nil"/>
            </w:tcBorders>
          </w:tcPr>
          <w:p>
            <w:pPr>
              <w:jc w:val="center"/>
              <w:rPr>
                <w:rFonts w:cs="Arial"/>
                <w:bCs/>
                <w:color w:val="000000"/>
                <w:sz w:val="18"/>
                <w:szCs w:val="18"/>
              </w:rPr>
            </w:pPr>
            <w:hyperlink w:anchor="_4.__CAIXA_1" w:history="1">
              <w:r>
                <w:rPr>
                  <w:rStyle w:val="Hyperlink"/>
                  <w:rFonts w:cs="Arial"/>
                  <w:bCs/>
                  <w:sz w:val="18"/>
                  <w:szCs w:val="18"/>
                </w:rPr>
                <w:t>4</w:t>
              </w:r>
            </w:hyperlink>
          </w:p>
        </w:tc>
        <w:tc>
          <w:tcPr>
            <w:tcW w:w="125" w:type="dxa"/>
            <w:tcBorders>
              <w:top w:val="nil"/>
              <w:left w:val="nil"/>
              <w:bottom w:val="nil"/>
              <w:right w:val="nil"/>
            </w:tcBorders>
          </w:tcPr>
          <w:p>
            <w:pPr>
              <w:jc w:val="right"/>
              <w:rPr>
                <w:rFonts w:cs="Arial"/>
                <w:bCs/>
                <w:color w:val="000000"/>
                <w:sz w:val="18"/>
                <w:szCs w:val="18"/>
              </w:rPr>
            </w:pPr>
          </w:p>
        </w:tc>
        <w:tc>
          <w:tcPr>
            <w:tcW w:w="1013" w:type="dxa"/>
            <w:gridSpan w:val="2"/>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7.826</w:t>
            </w:r>
          </w:p>
        </w:tc>
        <w:tc>
          <w:tcPr>
            <w:tcW w:w="115" w:type="dxa"/>
            <w:tcBorders>
              <w:top w:val="nil"/>
              <w:left w:val="nil"/>
              <w:bottom w:val="nil"/>
              <w:right w:val="nil"/>
            </w:tcBorders>
          </w:tcPr>
          <w:p>
            <w:pPr>
              <w:jc w:val="right"/>
              <w:rPr>
                <w:rFonts w:cs="Arial"/>
                <w:bCs/>
                <w:color w:val="000000"/>
                <w:sz w:val="18"/>
                <w:szCs w:val="18"/>
              </w:rPr>
            </w:pPr>
          </w:p>
        </w:tc>
        <w:tc>
          <w:tcPr>
            <w:tcW w:w="1011" w:type="dxa"/>
            <w:gridSpan w:val="2"/>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3.703</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62" w:type="dxa"/>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Fornecedores</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13.861</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16.139</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Clientes</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5.__CLIENTES_1" w:history="1">
              <w:r>
                <w:rPr>
                  <w:rStyle w:val="Hyperlink"/>
                  <w:rFonts w:cs="Arial"/>
                  <w:bCs/>
                  <w:sz w:val="18"/>
                  <w:szCs w:val="18"/>
                </w:rPr>
                <w:t>5</w:t>
              </w:r>
            </w:hyperlink>
          </w:p>
        </w:tc>
        <w:tc>
          <w:tcPr>
            <w:tcW w:w="125" w:type="dxa"/>
            <w:tcBorders>
              <w:top w:val="nil"/>
              <w:left w:val="nil"/>
              <w:bottom w:val="nil"/>
              <w:right w:val="nil"/>
            </w:tcBorders>
          </w:tcPr>
          <w:p>
            <w:pPr>
              <w:jc w:val="right"/>
              <w:rPr>
                <w:rFonts w:cs="Arial"/>
                <w:bCs/>
                <w:color w:val="000000"/>
                <w:sz w:val="18"/>
                <w:szCs w:val="18"/>
              </w:rPr>
            </w:pPr>
          </w:p>
        </w:tc>
        <w:tc>
          <w:tcPr>
            <w:tcW w:w="1013" w:type="dxa"/>
            <w:gridSpan w:val="2"/>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33.262</w:t>
            </w:r>
          </w:p>
        </w:tc>
        <w:tc>
          <w:tcPr>
            <w:tcW w:w="115" w:type="dxa"/>
            <w:tcBorders>
              <w:top w:val="nil"/>
              <w:left w:val="nil"/>
              <w:bottom w:val="nil"/>
              <w:right w:val="nil"/>
            </w:tcBorders>
          </w:tcPr>
          <w:p>
            <w:pPr>
              <w:jc w:val="right"/>
              <w:rPr>
                <w:rFonts w:cs="Arial"/>
                <w:bCs/>
                <w:color w:val="000000"/>
                <w:sz w:val="18"/>
                <w:szCs w:val="18"/>
              </w:rPr>
            </w:pPr>
          </w:p>
        </w:tc>
        <w:tc>
          <w:tcPr>
            <w:tcW w:w="1011" w:type="dxa"/>
            <w:gridSpan w:val="2"/>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24.636</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62" w:type="dxa"/>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 xml:space="preserve">Férias e encargos a pagar       </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hyperlink w:anchor="_16._FÉRIAS_E_1" w:history="1">
              <w:r>
                <w:rPr>
                  <w:rStyle w:val="Hyperlink"/>
                  <w:rFonts w:cs="Arial"/>
                  <w:bCs/>
                  <w:sz w:val="18"/>
                  <w:szCs w:val="18"/>
                </w:rPr>
                <w:t>16</w:t>
              </w:r>
            </w:hyperlink>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10.310</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8.353</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Impostos a recuperar / compensar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6._IMPOSTOS_A_1" w:history="1">
              <w:r>
                <w:rPr>
                  <w:rStyle w:val="Hyperlink"/>
                  <w:rFonts w:cs="Arial"/>
                  <w:bCs/>
                  <w:sz w:val="18"/>
                  <w:szCs w:val="18"/>
                </w:rPr>
                <w:t>6</w:t>
              </w:r>
            </w:hyperlink>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nil"/>
              <w:left w:val="nil"/>
              <w:bottom w:val="nil"/>
              <w:right w:val="nil"/>
            </w:tcBorders>
          </w:tcPr>
          <w:p>
            <w:pPr>
              <w:jc w:val="right"/>
              <w:rPr>
                <w:rFonts w:cs="Arial"/>
                <w:bCs/>
                <w:color w:val="000000"/>
                <w:sz w:val="18"/>
                <w:szCs w:val="18"/>
              </w:rPr>
            </w:pPr>
            <w:r>
              <w:rPr>
                <w:rFonts w:cs="Arial"/>
                <w:bCs/>
                <w:color w:val="000000"/>
                <w:sz w:val="18"/>
                <w:szCs w:val="18"/>
              </w:rPr>
              <w:t>234</w:t>
            </w:r>
          </w:p>
        </w:tc>
        <w:tc>
          <w:tcPr>
            <w:tcW w:w="115" w:type="dxa"/>
            <w:tcBorders>
              <w:top w:val="nil"/>
              <w:left w:val="nil"/>
              <w:bottom w:val="nil"/>
              <w:right w:val="nil"/>
            </w:tcBorders>
            <w:vAlign w:val="center"/>
          </w:tcPr>
          <w:p>
            <w:pPr>
              <w:tabs>
                <w:tab w:val="right" w:pos="2108"/>
              </w:tabs>
              <w:jc w:val="right"/>
              <w:rPr>
                <w:rFonts w:cs="Arial"/>
                <w:bCs/>
                <w:color w:val="000000"/>
                <w:sz w:val="18"/>
                <w:szCs w:val="18"/>
              </w:rPr>
            </w:pPr>
          </w:p>
        </w:tc>
        <w:tc>
          <w:tcPr>
            <w:tcW w:w="991"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216</w:t>
            </w:r>
          </w:p>
        </w:tc>
        <w:tc>
          <w:tcPr>
            <w:tcW w:w="182" w:type="dxa"/>
            <w:gridSpan w:val="2"/>
            <w:tcBorders>
              <w:top w:val="nil"/>
              <w:left w:val="nil"/>
              <w:bottom w:val="nil"/>
              <w:right w:val="nil"/>
            </w:tcBorders>
          </w:tcPr>
          <w:p>
            <w:pPr>
              <w:rPr>
                <w:rFonts w:cs="Arial"/>
                <w:bCs/>
                <w:color w:val="000000"/>
                <w:sz w:val="18"/>
                <w:szCs w:val="18"/>
              </w:rPr>
            </w:pPr>
          </w:p>
        </w:tc>
        <w:tc>
          <w:tcPr>
            <w:tcW w:w="2682" w:type="dxa"/>
            <w:gridSpan w:val="2"/>
            <w:tcBorders>
              <w:top w:val="nil"/>
              <w:left w:val="nil"/>
              <w:bottom w:val="nil"/>
              <w:right w:val="nil"/>
            </w:tcBorders>
            <w:vAlign w:val="center"/>
          </w:tcPr>
          <w:p>
            <w:pPr>
              <w:rPr>
                <w:rFonts w:cs="Arial"/>
                <w:bCs/>
                <w:color w:val="000000"/>
                <w:sz w:val="18"/>
                <w:szCs w:val="18"/>
              </w:rPr>
            </w:pPr>
            <w:r>
              <w:rPr>
                <w:rFonts w:cs="Arial"/>
                <w:bCs/>
                <w:color w:val="000000"/>
                <w:sz w:val="18"/>
                <w:szCs w:val="18"/>
              </w:rPr>
              <w:t xml:space="preserve">Contribuições sociais a recolher   </w:t>
            </w:r>
          </w:p>
        </w:tc>
        <w:tc>
          <w:tcPr>
            <w:tcW w:w="377" w:type="dxa"/>
            <w:tcBorders>
              <w:top w:val="nil"/>
              <w:left w:val="nil"/>
              <w:bottom w:val="nil"/>
              <w:right w:val="nil"/>
            </w:tcBorders>
            <w:vAlign w:val="center"/>
          </w:tcPr>
          <w:p>
            <w:pPr>
              <w:jc w:val="right"/>
              <w:rPr>
                <w:rFonts w:cs="Arial"/>
                <w:bCs/>
                <w:color w:val="000000"/>
                <w:sz w:val="18"/>
                <w:szCs w:val="18"/>
              </w:rPr>
            </w:pPr>
          </w:p>
        </w:tc>
        <w:tc>
          <w:tcPr>
            <w:tcW w:w="508" w:type="dxa"/>
            <w:gridSpan w:val="3"/>
            <w:tcBorders>
              <w:top w:val="nil"/>
              <w:left w:val="nil"/>
              <w:bottom w:val="nil"/>
              <w:right w:val="nil"/>
            </w:tcBorders>
          </w:tcPr>
          <w:p>
            <w:pPr>
              <w:jc w:val="center"/>
              <w:rPr>
                <w:rFonts w:cs="Arial"/>
                <w:bCs/>
                <w:color w:val="000000"/>
                <w:sz w:val="18"/>
                <w:szCs w:val="18"/>
              </w:rPr>
            </w:pPr>
            <w:hyperlink w:anchor="_17._CONTRIBUIÇÕES_SOCIAIS_1" w:history="1">
              <w:r>
                <w:rPr>
                  <w:rStyle w:val="Hyperlink"/>
                  <w:rFonts w:cs="Arial"/>
                  <w:bCs/>
                  <w:sz w:val="18"/>
                  <w:szCs w:val="18"/>
                </w:rPr>
                <w:t>17</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5.556</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3.633</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Estoques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7._ESTOQUES_1" w:history="1">
              <w:r>
                <w:rPr>
                  <w:rStyle w:val="Hyperlink"/>
                  <w:rFonts w:cs="Arial"/>
                  <w:bCs/>
                  <w:sz w:val="18"/>
                  <w:szCs w:val="18"/>
                </w:rPr>
                <w:t>7</w:t>
              </w:r>
            </w:hyperlink>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nil"/>
              <w:left w:val="nil"/>
              <w:bottom w:val="nil"/>
              <w:right w:val="nil"/>
            </w:tcBorders>
          </w:tcPr>
          <w:p>
            <w:pPr>
              <w:jc w:val="right"/>
              <w:rPr>
                <w:rFonts w:cs="Arial"/>
                <w:bCs/>
                <w:color w:val="000000"/>
                <w:sz w:val="18"/>
                <w:szCs w:val="18"/>
              </w:rPr>
            </w:pPr>
            <w:r>
              <w:rPr>
                <w:rFonts w:cs="Arial"/>
                <w:bCs/>
                <w:color w:val="000000"/>
                <w:sz w:val="18"/>
                <w:szCs w:val="18"/>
              </w:rPr>
              <w:t>664</w:t>
            </w:r>
          </w:p>
        </w:tc>
        <w:tc>
          <w:tcPr>
            <w:tcW w:w="115" w:type="dxa"/>
            <w:tcBorders>
              <w:top w:val="nil"/>
              <w:left w:val="nil"/>
              <w:bottom w:val="nil"/>
              <w:right w:val="nil"/>
            </w:tcBorders>
            <w:vAlign w:val="center"/>
          </w:tcPr>
          <w:p>
            <w:pPr>
              <w:tabs>
                <w:tab w:val="right" w:pos="2108"/>
              </w:tabs>
              <w:jc w:val="right"/>
              <w:rPr>
                <w:rFonts w:cs="Arial"/>
                <w:bCs/>
                <w:color w:val="000000"/>
                <w:sz w:val="18"/>
                <w:szCs w:val="18"/>
              </w:rPr>
            </w:pPr>
          </w:p>
        </w:tc>
        <w:tc>
          <w:tcPr>
            <w:tcW w:w="991" w:type="dxa"/>
            <w:tcBorders>
              <w:top w:val="nil"/>
              <w:left w:val="nil"/>
              <w:bottom w:val="nil"/>
              <w:right w:val="nil"/>
            </w:tcBorders>
          </w:tcPr>
          <w:p>
            <w:pPr>
              <w:jc w:val="right"/>
              <w:rPr>
                <w:rFonts w:cs="Arial"/>
                <w:bCs/>
                <w:color w:val="000000"/>
                <w:sz w:val="18"/>
                <w:szCs w:val="18"/>
              </w:rPr>
            </w:pPr>
            <w:r>
              <w:rPr>
                <w:rFonts w:cs="Arial"/>
                <w:bCs/>
                <w:color w:val="000000"/>
                <w:sz w:val="18"/>
                <w:szCs w:val="18"/>
              </w:rPr>
              <w:t>879</w:t>
            </w:r>
          </w:p>
        </w:tc>
        <w:tc>
          <w:tcPr>
            <w:tcW w:w="182" w:type="dxa"/>
            <w:gridSpan w:val="2"/>
            <w:tcBorders>
              <w:top w:val="nil"/>
              <w:left w:val="nil"/>
              <w:bottom w:val="nil"/>
              <w:right w:val="nil"/>
            </w:tcBorders>
          </w:tcPr>
          <w:p>
            <w:pPr>
              <w:rPr>
                <w:rFonts w:cs="Arial"/>
                <w:bCs/>
                <w:color w:val="000000"/>
                <w:sz w:val="18"/>
                <w:szCs w:val="18"/>
              </w:rPr>
            </w:pPr>
          </w:p>
        </w:tc>
        <w:tc>
          <w:tcPr>
            <w:tcW w:w="2682" w:type="dxa"/>
            <w:gridSpan w:val="2"/>
            <w:tcBorders>
              <w:top w:val="nil"/>
              <w:left w:val="nil"/>
              <w:bottom w:val="nil"/>
              <w:right w:val="nil"/>
            </w:tcBorders>
            <w:vAlign w:val="center"/>
          </w:tcPr>
          <w:p>
            <w:pPr>
              <w:rPr>
                <w:rFonts w:cs="Arial"/>
                <w:bCs/>
                <w:color w:val="000000"/>
                <w:sz w:val="18"/>
                <w:szCs w:val="18"/>
              </w:rPr>
            </w:pPr>
            <w:r>
              <w:rPr>
                <w:rFonts w:cs="Arial"/>
                <w:bCs/>
                <w:color w:val="000000"/>
                <w:sz w:val="18"/>
                <w:szCs w:val="18"/>
              </w:rPr>
              <w:t>Obrigações fiscais a recolher</w:t>
            </w:r>
          </w:p>
        </w:tc>
        <w:tc>
          <w:tcPr>
            <w:tcW w:w="377" w:type="dxa"/>
            <w:tcBorders>
              <w:top w:val="nil"/>
              <w:left w:val="nil"/>
              <w:bottom w:val="nil"/>
              <w:right w:val="nil"/>
            </w:tcBorders>
            <w:vAlign w:val="center"/>
          </w:tcPr>
          <w:p>
            <w:pPr>
              <w:jc w:val="right"/>
              <w:rPr>
                <w:rFonts w:cs="Arial"/>
                <w:bCs/>
                <w:color w:val="000000"/>
                <w:sz w:val="18"/>
                <w:szCs w:val="18"/>
              </w:rPr>
            </w:pPr>
          </w:p>
        </w:tc>
        <w:tc>
          <w:tcPr>
            <w:tcW w:w="508" w:type="dxa"/>
            <w:gridSpan w:val="3"/>
            <w:tcBorders>
              <w:top w:val="nil"/>
              <w:left w:val="nil"/>
              <w:bottom w:val="nil"/>
              <w:right w:val="nil"/>
            </w:tcBorders>
          </w:tcPr>
          <w:p>
            <w:pPr>
              <w:jc w:val="center"/>
              <w:rPr>
                <w:rFonts w:cs="Arial"/>
                <w:bCs/>
                <w:color w:val="000000"/>
                <w:sz w:val="18"/>
                <w:szCs w:val="18"/>
              </w:rPr>
            </w:pPr>
            <w:hyperlink w:anchor="_18._OBRIGAÇÕES_FISCAIS_1" w:history="1">
              <w:r>
                <w:rPr>
                  <w:rStyle w:val="Hyperlink"/>
                  <w:rFonts w:cs="Arial"/>
                  <w:bCs/>
                  <w:sz w:val="18"/>
                  <w:szCs w:val="18"/>
                </w:rPr>
                <w:t>18</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58.833</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31.409</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Outros valores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8._OUTROS_VALORES_1" w:history="1">
              <w:r>
                <w:rPr>
                  <w:rStyle w:val="Hyperlink"/>
                  <w:rFonts w:cs="Arial"/>
                  <w:bCs/>
                  <w:sz w:val="18"/>
                  <w:szCs w:val="18"/>
                </w:rPr>
                <w:t>8</w:t>
              </w:r>
            </w:hyperlink>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nil"/>
              <w:left w:val="nil"/>
              <w:bottom w:val="nil"/>
              <w:right w:val="nil"/>
            </w:tcBorders>
          </w:tcPr>
          <w:p>
            <w:pPr>
              <w:jc w:val="right"/>
              <w:rPr>
                <w:rFonts w:cs="Arial"/>
                <w:bCs/>
                <w:color w:val="000000"/>
                <w:sz w:val="18"/>
                <w:szCs w:val="18"/>
              </w:rPr>
            </w:pPr>
            <w:r>
              <w:rPr>
                <w:rFonts w:cs="Arial"/>
                <w:bCs/>
                <w:color w:val="000000"/>
                <w:sz w:val="18"/>
                <w:szCs w:val="18"/>
              </w:rPr>
              <w:t>199</w:t>
            </w:r>
          </w:p>
        </w:tc>
        <w:tc>
          <w:tcPr>
            <w:tcW w:w="115" w:type="dxa"/>
            <w:tcBorders>
              <w:top w:val="nil"/>
              <w:left w:val="nil"/>
              <w:bottom w:val="nil"/>
              <w:right w:val="nil"/>
            </w:tcBorders>
            <w:vAlign w:val="center"/>
          </w:tcPr>
          <w:p>
            <w:pPr>
              <w:tabs>
                <w:tab w:val="right" w:pos="2108"/>
              </w:tabs>
              <w:jc w:val="right"/>
              <w:rPr>
                <w:rFonts w:cs="Arial"/>
                <w:bCs/>
                <w:color w:val="000000"/>
                <w:sz w:val="18"/>
                <w:szCs w:val="18"/>
              </w:rPr>
            </w:pPr>
          </w:p>
        </w:tc>
        <w:tc>
          <w:tcPr>
            <w:tcW w:w="991" w:type="dxa"/>
            <w:tcBorders>
              <w:top w:val="nil"/>
              <w:left w:val="nil"/>
              <w:bottom w:val="nil"/>
              <w:right w:val="nil"/>
            </w:tcBorders>
          </w:tcPr>
          <w:p>
            <w:pPr>
              <w:jc w:val="right"/>
              <w:rPr>
                <w:rFonts w:cs="Arial"/>
                <w:bCs/>
                <w:color w:val="000000"/>
                <w:sz w:val="18"/>
                <w:szCs w:val="18"/>
              </w:rPr>
            </w:pPr>
            <w:r>
              <w:rPr>
                <w:rFonts w:cs="Arial"/>
                <w:bCs/>
                <w:color w:val="000000"/>
                <w:sz w:val="18"/>
                <w:szCs w:val="18"/>
              </w:rPr>
              <w:t>205</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Encargos a pagar</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508" w:type="dxa"/>
            <w:gridSpan w:val="3"/>
            <w:tcBorders>
              <w:top w:val="nil"/>
              <w:left w:val="nil"/>
              <w:bottom w:val="nil"/>
              <w:right w:val="nil"/>
            </w:tcBorders>
          </w:tcPr>
          <w:p>
            <w:pPr>
              <w:jc w:val="center"/>
              <w:rPr>
                <w:rFonts w:cs="Arial"/>
                <w:bCs/>
                <w:color w:val="000000"/>
                <w:sz w:val="18"/>
                <w:szCs w:val="18"/>
              </w:rPr>
            </w:pPr>
            <w:hyperlink w:anchor="_19._ENCARGOS_A_1" w:history="1">
              <w:r>
                <w:rPr>
                  <w:rStyle w:val="Hyperlink"/>
                  <w:rFonts w:cs="Arial"/>
                  <w:bCs/>
                  <w:sz w:val="18"/>
                  <w:szCs w:val="18"/>
                </w:rPr>
                <w:t>19</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3.900</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3.902</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Despesas antecipadas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9._DESPESAS_ANTECIPADAS_1" w:history="1">
              <w:r>
                <w:rPr>
                  <w:rStyle w:val="Hyperlink"/>
                  <w:rFonts w:cs="Arial"/>
                  <w:bCs/>
                  <w:sz w:val="18"/>
                  <w:szCs w:val="18"/>
                </w:rPr>
                <w:t>9</w:t>
              </w:r>
            </w:hyperlink>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nil"/>
              <w:left w:val="nil"/>
              <w:bottom w:val="single" w:sz="4" w:space="0" w:color="auto"/>
              <w:right w:val="nil"/>
            </w:tcBorders>
          </w:tcPr>
          <w:p>
            <w:pPr>
              <w:jc w:val="right"/>
              <w:rPr>
                <w:rFonts w:cs="Arial"/>
                <w:bCs/>
                <w:color w:val="000000"/>
                <w:sz w:val="18"/>
                <w:szCs w:val="18"/>
              </w:rPr>
            </w:pPr>
            <w:r>
              <w:rPr>
                <w:rFonts w:cs="Arial"/>
                <w:bCs/>
                <w:color w:val="000000"/>
                <w:sz w:val="18"/>
                <w:szCs w:val="18"/>
              </w:rPr>
              <w:t>19.624</w:t>
            </w:r>
          </w:p>
        </w:tc>
        <w:tc>
          <w:tcPr>
            <w:tcW w:w="115" w:type="dxa"/>
            <w:tcBorders>
              <w:top w:val="nil"/>
              <w:left w:val="nil"/>
              <w:bottom w:val="nil"/>
              <w:right w:val="nil"/>
            </w:tcBorders>
            <w:vAlign w:val="center"/>
          </w:tcPr>
          <w:p>
            <w:pPr>
              <w:tabs>
                <w:tab w:val="right" w:pos="2108"/>
              </w:tabs>
              <w:jc w:val="right"/>
              <w:rPr>
                <w:rFonts w:cs="Arial"/>
                <w:bCs/>
                <w:color w:val="000000"/>
                <w:sz w:val="18"/>
                <w:szCs w:val="18"/>
              </w:rPr>
            </w:pPr>
          </w:p>
        </w:tc>
        <w:tc>
          <w:tcPr>
            <w:tcW w:w="991" w:type="dxa"/>
            <w:tcBorders>
              <w:top w:val="nil"/>
              <w:left w:val="nil"/>
              <w:bottom w:val="single" w:sz="4" w:space="0" w:color="auto"/>
              <w:right w:val="nil"/>
            </w:tcBorders>
          </w:tcPr>
          <w:p>
            <w:pPr>
              <w:jc w:val="right"/>
              <w:rPr>
                <w:rFonts w:cs="Arial"/>
                <w:bCs/>
                <w:color w:val="000000"/>
                <w:sz w:val="18"/>
                <w:szCs w:val="18"/>
              </w:rPr>
            </w:pPr>
            <w:r>
              <w:rPr>
                <w:rFonts w:cs="Arial"/>
                <w:bCs/>
                <w:color w:val="000000"/>
                <w:sz w:val="18"/>
                <w:szCs w:val="18"/>
              </w:rPr>
              <w:t>1.750</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Contas a pagar</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508" w:type="dxa"/>
            <w:gridSpan w:val="3"/>
            <w:tcBorders>
              <w:top w:val="nil"/>
              <w:left w:val="nil"/>
              <w:bottom w:val="nil"/>
              <w:right w:val="nil"/>
            </w:tcBorders>
          </w:tcPr>
          <w:p>
            <w:pPr>
              <w:jc w:val="center"/>
              <w:rPr>
                <w:rFonts w:cs="Arial"/>
                <w:bCs/>
                <w:color w:val="000000"/>
                <w:sz w:val="18"/>
                <w:szCs w:val="18"/>
              </w:rPr>
            </w:pPr>
            <w:hyperlink w:anchor="_20._CONTAS_A_1" w:history="1">
              <w:r>
                <w:rPr>
                  <w:rStyle w:val="Hyperlink"/>
                  <w:rFonts w:cs="Arial"/>
                  <w:bCs/>
                  <w:sz w:val="18"/>
                  <w:szCs w:val="18"/>
                </w:rPr>
                <w:t>20</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3.859</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3.801</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
                <w:bCs/>
                <w:color w:val="000000"/>
                <w:sz w:val="18"/>
                <w:szCs w:val="18"/>
              </w:rPr>
              <w:t>Total do ativo circulante</w:t>
            </w:r>
          </w:p>
        </w:tc>
        <w:tc>
          <w:tcPr>
            <w:tcW w:w="447" w:type="dxa"/>
            <w:tcBorders>
              <w:top w:val="nil"/>
              <w:left w:val="nil"/>
              <w:bottom w:val="nil"/>
              <w:right w:val="nil"/>
            </w:tcBorders>
          </w:tcPr>
          <w:p>
            <w:pPr>
              <w:tabs>
                <w:tab w:val="right" w:pos="2108"/>
              </w:tabs>
              <w:jc w:val="center"/>
              <w:rPr>
                <w:rFonts w:cs="Arial"/>
              </w:rPr>
            </w:pPr>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single" w:sz="4" w:space="0" w:color="auto"/>
              <w:left w:val="nil"/>
              <w:bottom w:val="single" w:sz="4" w:space="0" w:color="auto"/>
              <w:right w:val="nil"/>
            </w:tcBorders>
            <w:vAlign w:val="center"/>
          </w:tcPr>
          <w:p>
            <w:pPr>
              <w:jc w:val="right"/>
              <w:rPr>
                <w:rFonts w:cs="Arial"/>
                <w:b/>
                <w:bCs/>
                <w:color w:val="000000"/>
                <w:sz w:val="18"/>
                <w:szCs w:val="18"/>
              </w:rPr>
            </w:pPr>
            <w:r>
              <w:rPr>
                <w:rFonts w:cs="Arial"/>
                <w:b/>
                <w:bCs/>
                <w:color w:val="000000"/>
                <w:sz w:val="18"/>
                <w:szCs w:val="18"/>
              </w:rPr>
              <w:t>61.809</w:t>
            </w:r>
          </w:p>
        </w:tc>
        <w:tc>
          <w:tcPr>
            <w:tcW w:w="115" w:type="dxa"/>
            <w:tcBorders>
              <w:top w:val="nil"/>
              <w:left w:val="nil"/>
              <w:bottom w:val="nil"/>
              <w:right w:val="nil"/>
            </w:tcBorders>
            <w:vAlign w:val="center"/>
          </w:tcPr>
          <w:p>
            <w:pPr>
              <w:tabs>
                <w:tab w:val="right" w:pos="2108"/>
              </w:tabs>
              <w:jc w:val="right"/>
              <w:rPr>
                <w:rFonts w:cs="Arial"/>
                <w:bCs/>
                <w:color w:val="000000"/>
                <w:sz w:val="18"/>
                <w:szCs w:val="18"/>
              </w:rPr>
            </w:pPr>
          </w:p>
        </w:tc>
        <w:tc>
          <w:tcPr>
            <w:tcW w:w="991" w:type="dxa"/>
            <w:tcBorders>
              <w:top w:val="single" w:sz="4" w:space="0" w:color="auto"/>
              <w:left w:val="nil"/>
              <w:bottom w:val="single" w:sz="4" w:space="0" w:color="auto"/>
              <w:right w:val="nil"/>
            </w:tcBorders>
            <w:vAlign w:val="center"/>
          </w:tcPr>
          <w:p>
            <w:pPr>
              <w:jc w:val="right"/>
              <w:rPr>
                <w:rFonts w:cs="Arial"/>
                <w:b/>
                <w:bCs/>
                <w:color w:val="000000"/>
                <w:sz w:val="18"/>
                <w:szCs w:val="18"/>
              </w:rPr>
            </w:pPr>
            <w:r>
              <w:rPr>
                <w:rFonts w:cs="Arial"/>
                <w:b/>
                <w:bCs/>
                <w:color w:val="000000"/>
                <w:sz w:val="18"/>
                <w:szCs w:val="18"/>
              </w:rPr>
              <w:t>31.389</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Empréstimos a pagar</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508" w:type="dxa"/>
            <w:gridSpan w:val="3"/>
            <w:tcBorders>
              <w:top w:val="nil"/>
              <w:left w:val="nil"/>
              <w:bottom w:val="nil"/>
              <w:right w:val="nil"/>
            </w:tcBorders>
          </w:tcPr>
          <w:p>
            <w:pPr>
              <w:jc w:val="center"/>
              <w:rPr>
                <w:rFonts w:cs="Arial"/>
              </w:rPr>
            </w:pPr>
            <w:hyperlink w:anchor="_21._EMPRÉSTIMOS_A_1" w:history="1">
              <w:r>
                <w:rPr>
                  <w:rStyle w:val="Hyperlink"/>
                  <w:rFonts w:cs="Arial"/>
                  <w:bCs/>
                  <w:sz w:val="18"/>
                  <w:szCs w:val="18"/>
                </w:rPr>
                <w:t>21</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6.667</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4.600</w:t>
            </w:r>
          </w:p>
        </w:tc>
      </w:tr>
      <w:tr>
        <w:trPr>
          <w:trHeight w:val="20"/>
          <w:jc w:val="center"/>
        </w:trPr>
        <w:tc>
          <w:tcPr>
            <w:tcW w:w="4505" w:type="dxa"/>
            <w:tcBorders>
              <w:top w:val="nil"/>
              <w:left w:val="single" w:sz="4" w:space="0" w:color="auto"/>
              <w:right w:val="nil"/>
            </w:tcBorders>
            <w:vAlign w:val="center"/>
          </w:tcPr>
          <w:p>
            <w:pPr>
              <w:rPr>
                <w:rFonts w:cs="Arial"/>
                <w:b/>
                <w:bCs/>
                <w:color w:val="000000"/>
                <w:sz w:val="18"/>
                <w:szCs w:val="18"/>
              </w:rPr>
            </w:pPr>
          </w:p>
        </w:tc>
        <w:tc>
          <w:tcPr>
            <w:tcW w:w="447" w:type="dxa"/>
            <w:tcBorders>
              <w:left w:val="nil"/>
              <w:right w:val="nil"/>
            </w:tcBorders>
          </w:tcPr>
          <w:p>
            <w:pPr>
              <w:jc w:val="center"/>
              <w:rPr>
                <w:rFonts w:cs="Arial"/>
                <w:b/>
                <w:bCs/>
                <w:color w:val="000000"/>
                <w:sz w:val="18"/>
                <w:szCs w:val="18"/>
              </w:rPr>
            </w:pPr>
          </w:p>
        </w:tc>
        <w:tc>
          <w:tcPr>
            <w:tcW w:w="125" w:type="dxa"/>
            <w:tcBorders>
              <w:left w:val="nil"/>
              <w:right w:val="nil"/>
            </w:tcBorders>
          </w:tcPr>
          <w:p>
            <w:pPr>
              <w:jc w:val="right"/>
              <w:rPr>
                <w:rFonts w:cs="Arial"/>
                <w:b/>
                <w:bCs/>
                <w:color w:val="000000"/>
                <w:sz w:val="18"/>
                <w:szCs w:val="18"/>
              </w:rPr>
            </w:pPr>
          </w:p>
        </w:tc>
        <w:tc>
          <w:tcPr>
            <w:tcW w:w="1013" w:type="dxa"/>
            <w:gridSpan w:val="2"/>
            <w:tcBorders>
              <w:left w:val="nil"/>
              <w:right w:val="nil"/>
            </w:tcBorders>
            <w:vAlign w:val="center"/>
          </w:tcPr>
          <w:p>
            <w:pPr>
              <w:jc w:val="right"/>
              <w:rPr>
                <w:rFonts w:cs="Arial"/>
                <w:b/>
                <w:bCs/>
                <w:color w:val="000000"/>
                <w:sz w:val="18"/>
                <w:szCs w:val="18"/>
              </w:rPr>
            </w:pPr>
          </w:p>
        </w:tc>
        <w:tc>
          <w:tcPr>
            <w:tcW w:w="115" w:type="dxa"/>
            <w:tcBorders>
              <w:left w:val="nil"/>
              <w:right w:val="nil"/>
            </w:tcBorders>
          </w:tcPr>
          <w:p>
            <w:pPr>
              <w:jc w:val="right"/>
              <w:rPr>
                <w:rFonts w:cs="Arial"/>
                <w:b/>
                <w:bCs/>
                <w:color w:val="000000"/>
                <w:sz w:val="18"/>
                <w:szCs w:val="18"/>
              </w:rPr>
            </w:pPr>
          </w:p>
        </w:tc>
        <w:tc>
          <w:tcPr>
            <w:tcW w:w="1011" w:type="dxa"/>
            <w:gridSpan w:val="2"/>
            <w:tcBorders>
              <w:left w:val="nil"/>
              <w:right w:val="nil"/>
            </w:tcBorders>
            <w:vAlign w:val="center"/>
          </w:tcPr>
          <w:p>
            <w:pPr>
              <w:jc w:val="right"/>
              <w:rPr>
                <w:rFonts w:cs="Arial"/>
                <w:b/>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
                <w:bCs/>
                <w:color w:val="000000"/>
                <w:sz w:val="18"/>
                <w:szCs w:val="18"/>
              </w:rPr>
            </w:pPr>
            <w:r>
              <w:rPr>
                <w:rFonts w:cs="Arial"/>
                <w:b/>
                <w:bCs/>
                <w:color w:val="000000"/>
                <w:sz w:val="18"/>
                <w:szCs w:val="18"/>
              </w:rPr>
              <w:t>Total do passivo circulante</w:t>
            </w:r>
          </w:p>
        </w:tc>
        <w:tc>
          <w:tcPr>
            <w:tcW w:w="486" w:type="dxa"/>
            <w:gridSpan w:val="2"/>
            <w:tcBorders>
              <w:left w:val="nil"/>
              <w:right w:val="nil"/>
            </w:tcBorders>
          </w:tcPr>
          <w:p>
            <w:pPr>
              <w:jc w:val="center"/>
              <w:rPr>
                <w:rFonts w:cs="Arial"/>
                <w:b/>
                <w:bCs/>
                <w:color w:val="000000"/>
                <w:sz w:val="18"/>
                <w:szCs w:val="18"/>
              </w:rPr>
            </w:pPr>
          </w:p>
        </w:tc>
        <w:tc>
          <w:tcPr>
            <w:tcW w:w="105" w:type="dxa"/>
            <w:tcBorders>
              <w:left w:val="nil"/>
              <w:right w:val="nil"/>
            </w:tcBorders>
          </w:tcPr>
          <w:p>
            <w:pPr>
              <w:jc w:val="right"/>
              <w:rPr>
                <w:rFonts w:cs="Arial"/>
                <w:b/>
                <w:bCs/>
                <w:color w:val="000000"/>
                <w:sz w:val="18"/>
                <w:szCs w:val="18"/>
              </w:rPr>
            </w:pPr>
          </w:p>
        </w:tc>
        <w:tc>
          <w:tcPr>
            <w:tcW w:w="1470" w:type="dxa"/>
            <w:tcBorders>
              <w:top w:val="single" w:sz="2" w:space="0" w:color="000000"/>
              <w:left w:val="nil"/>
              <w:bottom w:val="single" w:sz="4" w:space="0" w:color="auto"/>
              <w:right w:val="nil"/>
            </w:tcBorders>
            <w:vAlign w:val="center"/>
          </w:tcPr>
          <w:p>
            <w:pPr>
              <w:jc w:val="right"/>
              <w:rPr>
                <w:rFonts w:cs="Arial"/>
                <w:b/>
                <w:bCs/>
                <w:color w:val="000000"/>
                <w:sz w:val="18"/>
                <w:szCs w:val="18"/>
              </w:rPr>
            </w:pPr>
            <w:r>
              <w:rPr>
                <w:rFonts w:cs="Arial"/>
                <w:b/>
                <w:bCs/>
                <w:color w:val="000000"/>
                <w:sz w:val="18"/>
                <w:szCs w:val="18"/>
              </w:rPr>
              <w:t>102.986</w:t>
            </w:r>
          </w:p>
        </w:tc>
        <w:tc>
          <w:tcPr>
            <w:tcW w:w="171" w:type="dxa"/>
            <w:tcBorders>
              <w:left w:val="nil"/>
              <w:right w:val="nil"/>
            </w:tcBorders>
          </w:tcPr>
          <w:p>
            <w:pPr>
              <w:jc w:val="right"/>
              <w:rPr>
                <w:rFonts w:cs="Arial"/>
                <w:b/>
                <w:bCs/>
                <w:color w:val="000000"/>
                <w:sz w:val="18"/>
                <w:szCs w:val="18"/>
              </w:rPr>
            </w:pPr>
          </w:p>
        </w:tc>
        <w:tc>
          <w:tcPr>
            <w:tcW w:w="1631" w:type="dxa"/>
            <w:gridSpan w:val="2"/>
            <w:tcBorders>
              <w:top w:val="single" w:sz="2" w:space="0" w:color="000000"/>
              <w:left w:val="nil"/>
              <w:bottom w:val="single" w:sz="4" w:space="0" w:color="auto"/>
              <w:right w:val="single" w:sz="4" w:space="0" w:color="auto"/>
            </w:tcBorders>
            <w:vAlign w:val="center"/>
          </w:tcPr>
          <w:p>
            <w:pPr>
              <w:jc w:val="right"/>
              <w:rPr>
                <w:rFonts w:cs="Arial"/>
                <w:b/>
                <w:bCs/>
                <w:color w:val="000000"/>
                <w:sz w:val="18"/>
                <w:szCs w:val="18"/>
              </w:rPr>
            </w:pPr>
            <w:r>
              <w:rPr>
                <w:rFonts w:cs="Arial"/>
                <w:b/>
                <w:bCs/>
                <w:color w:val="000000"/>
                <w:sz w:val="18"/>
                <w:szCs w:val="18"/>
              </w:rPr>
              <w:t>71.837</w:t>
            </w:r>
          </w:p>
        </w:tc>
      </w:tr>
      <w:tr>
        <w:trPr>
          <w:trHeight w:val="20"/>
          <w:jc w:val="center"/>
        </w:trPr>
        <w:tc>
          <w:tcPr>
            <w:tcW w:w="4505" w:type="dxa"/>
            <w:tcBorders>
              <w:left w:val="single" w:sz="4" w:space="0" w:color="auto"/>
              <w:bottom w:val="nil"/>
              <w:right w:val="nil"/>
            </w:tcBorders>
            <w:vAlign w:val="center"/>
          </w:tcPr>
          <w:p>
            <w:pPr>
              <w:rPr>
                <w:rFonts w:cs="Arial"/>
                <w:bCs/>
                <w:color w:val="000000"/>
                <w:sz w:val="18"/>
                <w:szCs w:val="18"/>
              </w:rPr>
            </w:pPr>
          </w:p>
        </w:tc>
        <w:tc>
          <w:tcPr>
            <w:tcW w:w="447" w:type="dxa"/>
            <w:tcBorders>
              <w:left w:val="nil"/>
              <w:bottom w:val="nil"/>
              <w:right w:val="nil"/>
            </w:tcBorders>
          </w:tcPr>
          <w:p>
            <w:pPr>
              <w:jc w:val="center"/>
              <w:rPr>
                <w:rFonts w:cs="Arial"/>
                <w:bCs/>
                <w:color w:val="000000"/>
                <w:sz w:val="18"/>
                <w:szCs w:val="18"/>
              </w:rPr>
            </w:pPr>
          </w:p>
        </w:tc>
        <w:tc>
          <w:tcPr>
            <w:tcW w:w="125" w:type="dxa"/>
            <w:tcBorders>
              <w:left w:val="nil"/>
              <w:bottom w:val="nil"/>
              <w:right w:val="nil"/>
            </w:tcBorders>
          </w:tcPr>
          <w:p>
            <w:pPr>
              <w:jc w:val="right"/>
              <w:rPr>
                <w:rFonts w:cs="Arial"/>
                <w:bCs/>
                <w:color w:val="000000"/>
                <w:sz w:val="18"/>
                <w:szCs w:val="18"/>
              </w:rPr>
            </w:pPr>
          </w:p>
        </w:tc>
        <w:tc>
          <w:tcPr>
            <w:tcW w:w="1013" w:type="dxa"/>
            <w:gridSpan w:val="2"/>
            <w:tcBorders>
              <w:left w:val="nil"/>
              <w:bottom w:val="nil"/>
              <w:right w:val="nil"/>
            </w:tcBorders>
            <w:vAlign w:val="center"/>
          </w:tcPr>
          <w:p>
            <w:pPr>
              <w:jc w:val="right"/>
              <w:rPr>
                <w:rFonts w:cs="Arial"/>
                <w:bCs/>
                <w:color w:val="000000"/>
                <w:sz w:val="18"/>
                <w:szCs w:val="18"/>
              </w:rPr>
            </w:pPr>
          </w:p>
        </w:tc>
        <w:tc>
          <w:tcPr>
            <w:tcW w:w="115" w:type="dxa"/>
            <w:tcBorders>
              <w:left w:val="nil"/>
              <w:bottom w:val="nil"/>
              <w:right w:val="nil"/>
            </w:tcBorders>
          </w:tcPr>
          <w:p>
            <w:pPr>
              <w:jc w:val="right"/>
              <w:rPr>
                <w:rFonts w:cs="Arial"/>
                <w:bCs/>
                <w:color w:val="000000"/>
                <w:sz w:val="18"/>
                <w:szCs w:val="18"/>
              </w:rPr>
            </w:pPr>
          </w:p>
        </w:tc>
        <w:tc>
          <w:tcPr>
            <w:tcW w:w="1011" w:type="dxa"/>
            <w:gridSpan w:val="2"/>
            <w:tcBorders>
              <w:left w:val="nil"/>
              <w:bottom w:val="nil"/>
              <w:right w:val="nil"/>
            </w:tcBorders>
            <w:vAlign w:val="center"/>
          </w:tcPr>
          <w:p>
            <w:pPr>
              <w:jc w:val="right"/>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Cs/>
                <w:color w:val="000000"/>
                <w:sz w:val="18"/>
                <w:szCs w:val="18"/>
              </w:rPr>
            </w:pPr>
          </w:p>
        </w:tc>
        <w:tc>
          <w:tcPr>
            <w:tcW w:w="486" w:type="dxa"/>
            <w:gridSpan w:val="2"/>
            <w:tcBorders>
              <w:left w:val="nil"/>
              <w:bottom w:val="nil"/>
              <w:right w:val="nil"/>
            </w:tcBorders>
          </w:tcPr>
          <w:p>
            <w:pPr>
              <w:jc w:val="center"/>
              <w:rPr>
                <w:rFonts w:cs="Arial"/>
                <w:bCs/>
                <w:color w:val="000000"/>
                <w:sz w:val="18"/>
                <w:szCs w:val="18"/>
              </w:rPr>
            </w:pPr>
          </w:p>
        </w:tc>
        <w:tc>
          <w:tcPr>
            <w:tcW w:w="105" w:type="dxa"/>
            <w:tcBorders>
              <w:left w:val="nil"/>
              <w:bottom w:val="nil"/>
              <w:right w:val="nil"/>
            </w:tcBorders>
          </w:tcPr>
          <w:p>
            <w:pPr>
              <w:jc w:val="right"/>
              <w:rPr>
                <w:rFonts w:cs="Arial"/>
                <w:bCs/>
                <w:color w:val="000000"/>
                <w:sz w:val="18"/>
                <w:szCs w:val="18"/>
              </w:rPr>
            </w:pPr>
          </w:p>
        </w:tc>
        <w:tc>
          <w:tcPr>
            <w:tcW w:w="1470" w:type="dxa"/>
            <w:tcBorders>
              <w:top w:val="single" w:sz="4" w:space="0" w:color="auto"/>
              <w:left w:val="nil"/>
              <w:bottom w:val="nil"/>
              <w:right w:val="nil"/>
            </w:tcBorders>
            <w:vAlign w:val="center"/>
          </w:tcPr>
          <w:p>
            <w:pPr>
              <w:jc w:val="right"/>
              <w:rPr>
                <w:rFonts w:cs="Arial"/>
                <w:bCs/>
                <w:color w:val="000000"/>
                <w:sz w:val="18"/>
                <w:szCs w:val="18"/>
              </w:rPr>
            </w:pPr>
          </w:p>
        </w:tc>
        <w:tc>
          <w:tcPr>
            <w:tcW w:w="171" w:type="dxa"/>
            <w:tcBorders>
              <w:left w:val="nil"/>
              <w:bottom w:val="nil"/>
              <w:right w:val="nil"/>
            </w:tcBorders>
          </w:tcPr>
          <w:p>
            <w:pPr>
              <w:jc w:val="right"/>
              <w:rPr>
                <w:rFonts w:cs="Arial"/>
                <w:bCs/>
                <w:color w:val="000000"/>
                <w:sz w:val="18"/>
                <w:szCs w:val="18"/>
              </w:rPr>
            </w:pPr>
          </w:p>
        </w:tc>
        <w:tc>
          <w:tcPr>
            <w:tcW w:w="1631" w:type="dxa"/>
            <w:gridSpan w:val="2"/>
            <w:tcBorders>
              <w:top w:val="single" w:sz="4" w:space="0" w:color="auto"/>
              <w:left w:val="nil"/>
              <w:bottom w:val="nil"/>
              <w:right w:val="single" w:sz="4" w:space="0" w:color="auto"/>
            </w:tcBorders>
            <w:vAlign w:val="center"/>
          </w:tcPr>
          <w:p>
            <w:pPr>
              <w:jc w:val="right"/>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r>
              <w:rPr>
                <w:rFonts w:cs="Arial"/>
                <w:b/>
                <w:bCs/>
                <w:color w:val="000000"/>
                <w:sz w:val="18"/>
                <w:szCs w:val="18"/>
              </w:rPr>
              <w:t xml:space="preserve">Ativo não circulante </w:t>
            </w:r>
          </w:p>
        </w:tc>
        <w:tc>
          <w:tcPr>
            <w:tcW w:w="447" w:type="dxa"/>
            <w:tcBorders>
              <w:top w:val="nil"/>
              <w:left w:val="nil"/>
              <w:bottom w:val="nil"/>
              <w:right w:val="nil"/>
            </w:tcBorders>
          </w:tcPr>
          <w:p>
            <w:pPr>
              <w:jc w:val="center"/>
              <w:rPr>
                <w:rFonts w:cs="Arial"/>
                <w:bCs/>
                <w:color w:val="000000"/>
                <w:sz w:val="18"/>
                <w:szCs w:val="18"/>
              </w:rPr>
            </w:pPr>
          </w:p>
        </w:tc>
        <w:tc>
          <w:tcPr>
            <w:tcW w:w="125" w:type="dxa"/>
            <w:tcBorders>
              <w:top w:val="nil"/>
              <w:left w:val="nil"/>
              <w:bottom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bottom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Cs/>
                <w:color w:val="000000"/>
                <w:sz w:val="18"/>
                <w:szCs w:val="18"/>
              </w:rPr>
            </w:pPr>
            <w:r>
              <w:rPr>
                <w:rFonts w:cs="Arial"/>
                <w:b/>
                <w:bCs/>
                <w:color w:val="000000"/>
                <w:sz w:val="18"/>
                <w:szCs w:val="18"/>
              </w:rPr>
              <w:t>Passivo não circulante</w:t>
            </w:r>
          </w:p>
        </w:tc>
        <w:tc>
          <w:tcPr>
            <w:tcW w:w="486" w:type="dxa"/>
            <w:gridSpan w:val="2"/>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r>
              <w:rPr>
                <w:rFonts w:cs="Arial"/>
                <w:b/>
                <w:bCs/>
                <w:color w:val="000000"/>
                <w:sz w:val="18"/>
                <w:szCs w:val="18"/>
              </w:rPr>
              <w:t>Realizável a longo prazo</w:t>
            </w:r>
          </w:p>
        </w:tc>
        <w:tc>
          <w:tcPr>
            <w:tcW w:w="447" w:type="dxa"/>
            <w:tcBorders>
              <w:top w:val="nil"/>
              <w:left w:val="nil"/>
              <w:bottom w:val="nil"/>
              <w:right w:val="nil"/>
            </w:tcBorders>
          </w:tcPr>
          <w:p>
            <w:pPr>
              <w:jc w:val="center"/>
              <w:rPr>
                <w:rFonts w:cs="Arial"/>
                <w:bCs/>
                <w:color w:val="000000"/>
                <w:sz w:val="18"/>
                <w:szCs w:val="18"/>
              </w:rPr>
            </w:pPr>
          </w:p>
        </w:tc>
        <w:tc>
          <w:tcPr>
            <w:tcW w:w="125" w:type="dxa"/>
            <w:tcBorders>
              <w:top w:val="nil"/>
              <w:left w:val="nil"/>
              <w:bottom w:val="nil"/>
              <w:right w:val="nil"/>
            </w:tcBorders>
          </w:tcPr>
          <w:p>
            <w:pPr>
              <w:rPr>
                <w:rFonts w:cs="Arial"/>
                <w:bCs/>
                <w:color w:val="000000"/>
                <w:sz w:val="18"/>
                <w:szCs w:val="18"/>
              </w:rPr>
            </w:pPr>
          </w:p>
        </w:tc>
        <w:tc>
          <w:tcPr>
            <w:tcW w:w="1013" w:type="dxa"/>
            <w:gridSpan w:val="2"/>
            <w:tcBorders>
              <w:top w:val="nil"/>
              <w:left w:val="nil"/>
              <w:bottom w:val="nil"/>
              <w:right w:val="nil"/>
            </w:tcBorders>
            <w:vAlign w:val="center"/>
          </w:tcPr>
          <w:p>
            <w:pPr>
              <w:rPr>
                <w:rFonts w:cs="Arial"/>
                <w:bCs/>
                <w:color w:val="000000"/>
                <w:sz w:val="18"/>
                <w:szCs w:val="18"/>
              </w:rPr>
            </w:pPr>
          </w:p>
        </w:tc>
        <w:tc>
          <w:tcPr>
            <w:tcW w:w="115" w:type="dxa"/>
            <w:tcBorders>
              <w:top w:val="nil"/>
              <w:left w:val="nil"/>
              <w:bottom w:val="nil"/>
              <w:right w:val="nil"/>
            </w:tcBorders>
          </w:tcPr>
          <w:p>
            <w:pPr>
              <w:rPr>
                <w:rFonts w:cs="Arial"/>
                <w:bCs/>
                <w:color w:val="000000"/>
                <w:sz w:val="18"/>
                <w:szCs w:val="18"/>
              </w:rPr>
            </w:pPr>
          </w:p>
        </w:tc>
        <w:tc>
          <w:tcPr>
            <w:tcW w:w="1011" w:type="dxa"/>
            <w:gridSpan w:val="2"/>
            <w:tcBorders>
              <w:top w:val="nil"/>
              <w:left w:val="nil"/>
              <w:bottom w:val="nil"/>
              <w:right w:val="nil"/>
            </w:tcBorders>
            <w:vAlign w:val="center"/>
          </w:tcPr>
          <w:p>
            <w:pPr>
              <w:rPr>
                <w:rFonts w:cs="Arial"/>
                <w:bCs/>
                <w:color w:val="000000"/>
                <w:sz w:val="18"/>
                <w:szCs w:val="18"/>
              </w:rPr>
            </w:pP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Adiantamento p/ futuro aumento</w:t>
            </w:r>
          </w:p>
        </w:tc>
        <w:tc>
          <w:tcPr>
            <w:tcW w:w="486" w:type="dxa"/>
            <w:gridSpan w:val="2"/>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Depósitos judiciais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10._DEPÓSITOS_JUDICIAIS_1" w:history="1">
              <w:r>
                <w:rPr>
                  <w:rStyle w:val="Hyperlink"/>
                  <w:rFonts w:cs="Arial"/>
                  <w:bCs/>
                  <w:sz w:val="18"/>
                  <w:szCs w:val="18"/>
                </w:rPr>
                <w:t>10</w:t>
              </w:r>
            </w:hyperlink>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nil"/>
              <w:left w:val="nil"/>
              <w:bottom w:val="nil"/>
              <w:right w:val="nil"/>
            </w:tcBorders>
          </w:tcPr>
          <w:p>
            <w:pPr>
              <w:jc w:val="right"/>
              <w:rPr>
                <w:rFonts w:cs="Arial"/>
                <w:bCs/>
                <w:color w:val="000000"/>
                <w:sz w:val="18"/>
                <w:szCs w:val="18"/>
              </w:rPr>
            </w:pPr>
            <w:r>
              <w:rPr>
                <w:rFonts w:cs="Arial"/>
                <w:bCs/>
                <w:color w:val="000000"/>
                <w:sz w:val="18"/>
                <w:szCs w:val="18"/>
              </w:rPr>
              <w:t>32.921</w:t>
            </w:r>
          </w:p>
        </w:tc>
        <w:tc>
          <w:tcPr>
            <w:tcW w:w="115" w:type="dxa"/>
            <w:tcBorders>
              <w:top w:val="nil"/>
              <w:left w:val="nil"/>
              <w:bottom w:val="nil"/>
              <w:right w:val="nil"/>
            </w:tcBorders>
            <w:vAlign w:val="center"/>
          </w:tcPr>
          <w:p>
            <w:pPr>
              <w:jc w:val="right"/>
              <w:rPr>
                <w:rFonts w:cs="Arial"/>
                <w:bCs/>
                <w:color w:val="000000"/>
                <w:sz w:val="18"/>
                <w:szCs w:val="18"/>
              </w:rPr>
            </w:pPr>
          </w:p>
        </w:tc>
        <w:tc>
          <w:tcPr>
            <w:tcW w:w="991" w:type="dxa"/>
            <w:tcBorders>
              <w:top w:val="nil"/>
              <w:left w:val="nil"/>
              <w:bottom w:val="nil"/>
              <w:right w:val="nil"/>
            </w:tcBorders>
          </w:tcPr>
          <w:p>
            <w:pPr>
              <w:jc w:val="right"/>
              <w:rPr>
                <w:rFonts w:cs="Arial"/>
                <w:bCs/>
                <w:color w:val="000000"/>
                <w:sz w:val="18"/>
                <w:szCs w:val="18"/>
              </w:rPr>
            </w:pPr>
            <w:r>
              <w:rPr>
                <w:rFonts w:cs="Arial"/>
                <w:bCs/>
                <w:color w:val="000000"/>
                <w:sz w:val="18"/>
                <w:szCs w:val="18"/>
              </w:rPr>
              <w:t>32.605</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pPr>
              <w:tabs>
                <w:tab w:val="right" w:pos="2059"/>
              </w:tabs>
              <w:rPr>
                <w:rFonts w:cs="Arial"/>
                <w:bCs/>
                <w:color w:val="000000"/>
                <w:sz w:val="18"/>
                <w:szCs w:val="18"/>
              </w:rPr>
            </w:pPr>
            <w:proofErr w:type="gramStart"/>
            <w:r>
              <w:rPr>
                <w:rFonts w:cs="Arial"/>
                <w:bCs/>
                <w:color w:val="000000"/>
                <w:sz w:val="18"/>
                <w:szCs w:val="18"/>
              </w:rPr>
              <w:t>de</w:t>
            </w:r>
            <w:proofErr w:type="gramEnd"/>
            <w:r>
              <w:rPr>
                <w:rFonts w:cs="Arial"/>
                <w:bCs/>
                <w:color w:val="000000"/>
                <w:sz w:val="18"/>
                <w:szCs w:val="18"/>
              </w:rPr>
              <w:t xml:space="preserve"> capital</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508" w:type="dxa"/>
            <w:gridSpan w:val="3"/>
            <w:tcBorders>
              <w:top w:val="nil"/>
              <w:left w:val="nil"/>
              <w:bottom w:val="nil"/>
              <w:right w:val="nil"/>
            </w:tcBorders>
          </w:tcPr>
          <w:p>
            <w:pPr>
              <w:jc w:val="center"/>
              <w:rPr>
                <w:rFonts w:cs="Arial"/>
                <w:bCs/>
                <w:color w:val="000000"/>
                <w:sz w:val="18"/>
                <w:szCs w:val="18"/>
              </w:rPr>
            </w:pPr>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1.458</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1.442</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Causas judiciais trabalhistas</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11._CAUSAS_JUDICIAIS_1" w:history="1">
              <w:r>
                <w:rPr>
                  <w:rStyle w:val="Hyperlink"/>
                  <w:rFonts w:cs="Arial"/>
                  <w:bCs/>
                  <w:sz w:val="18"/>
                  <w:szCs w:val="18"/>
                </w:rPr>
                <w:t>11</w:t>
              </w:r>
            </w:hyperlink>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nil"/>
              <w:left w:val="nil"/>
              <w:right w:val="nil"/>
            </w:tcBorders>
          </w:tcPr>
          <w:p>
            <w:pPr>
              <w:jc w:val="right"/>
              <w:rPr>
                <w:rFonts w:cs="Arial"/>
                <w:bCs/>
                <w:color w:val="000000"/>
                <w:sz w:val="18"/>
                <w:szCs w:val="18"/>
              </w:rPr>
            </w:pPr>
            <w:r>
              <w:rPr>
                <w:rFonts w:cs="Arial"/>
                <w:bCs/>
                <w:color w:val="000000"/>
                <w:sz w:val="18"/>
                <w:szCs w:val="18"/>
              </w:rPr>
              <w:t>9.189</w:t>
            </w:r>
          </w:p>
        </w:tc>
        <w:tc>
          <w:tcPr>
            <w:tcW w:w="115" w:type="dxa"/>
            <w:tcBorders>
              <w:top w:val="nil"/>
              <w:left w:val="nil"/>
              <w:right w:val="nil"/>
            </w:tcBorders>
            <w:vAlign w:val="center"/>
          </w:tcPr>
          <w:p>
            <w:pPr>
              <w:jc w:val="right"/>
              <w:rPr>
                <w:rFonts w:cs="Arial"/>
                <w:bCs/>
                <w:color w:val="000000"/>
                <w:sz w:val="18"/>
                <w:szCs w:val="18"/>
              </w:rPr>
            </w:pPr>
          </w:p>
        </w:tc>
        <w:tc>
          <w:tcPr>
            <w:tcW w:w="991" w:type="dxa"/>
            <w:tcBorders>
              <w:top w:val="nil"/>
              <w:left w:val="nil"/>
              <w:bottom w:val="nil"/>
              <w:right w:val="nil"/>
            </w:tcBorders>
          </w:tcPr>
          <w:p>
            <w:pPr>
              <w:jc w:val="right"/>
              <w:rPr>
                <w:rFonts w:cs="Arial"/>
                <w:bCs/>
                <w:color w:val="000000"/>
                <w:sz w:val="18"/>
                <w:szCs w:val="18"/>
              </w:rPr>
            </w:pPr>
            <w:r>
              <w:rPr>
                <w:rFonts w:cs="Arial"/>
                <w:bCs/>
                <w:color w:val="000000"/>
                <w:sz w:val="18"/>
                <w:szCs w:val="18"/>
              </w:rPr>
              <w:t>10.942</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Obrigações fiscais a recolher</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508" w:type="dxa"/>
            <w:gridSpan w:val="3"/>
            <w:tcBorders>
              <w:top w:val="nil"/>
              <w:left w:val="nil"/>
              <w:bottom w:val="nil"/>
              <w:right w:val="nil"/>
            </w:tcBorders>
          </w:tcPr>
          <w:p>
            <w:pPr>
              <w:jc w:val="center"/>
              <w:rPr>
                <w:rFonts w:cs="Arial"/>
                <w:bCs/>
                <w:color w:val="000000"/>
                <w:sz w:val="18"/>
                <w:szCs w:val="18"/>
              </w:rPr>
            </w:pPr>
            <w:hyperlink w:anchor="_18._OBRIGAÇÕES_FISCAIS_1" w:history="1">
              <w:r>
                <w:rPr>
                  <w:rStyle w:val="Hyperlink"/>
                  <w:rFonts w:cs="Arial"/>
                  <w:bCs/>
                  <w:sz w:val="18"/>
                  <w:szCs w:val="18"/>
                </w:rPr>
                <w:t>18</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13.859</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14.095</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Outros valores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12._OUTROS_VALORES_1" w:history="1">
              <w:r>
                <w:rPr>
                  <w:rStyle w:val="Hyperlink"/>
                  <w:rFonts w:cs="Arial"/>
                  <w:bCs/>
                  <w:sz w:val="18"/>
                  <w:szCs w:val="18"/>
                </w:rPr>
                <w:t>12</w:t>
              </w:r>
            </w:hyperlink>
          </w:p>
        </w:tc>
        <w:tc>
          <w:tcPr>
            <w:tcW w:w="125" w:type="dxa"/>
            <w:tcBorders>
              <w:top w:val="nil"/>
              <w:left w:val="nil"/>
              <w:bottom w:val="nil"/>
              <w:right w:val="nil"/>
            </w:tcBorders>
          </w:tcPr>
          <w:p>
            <w:pPr>
              <w:tabs>
                <w:tab w:val="right" w:pos="2108"/>
              </w:tabs>
              <w:jc w:val="right"/>
              <w:rPr>
                <w:rFonts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cs="Arial"/>
                <w:bCs/>
                <w:color w:val="000000"/>
                <w:sz w:val="18"/>
                <w:szCs w:val="18"/>
              </w:rPr>
            </w:pPr>
          </w:p>
        </w:tc>
        <w:tc>
          <w:tcPr>
            <w:tcW w:w="993" w:type="dxa"/>
            <w:tcBorders>
              <w:top w:val="nil"/>
              <w:left w:val="nil"/>
              <w:bottom w:val="single" w:sz="4" w:space="0" w:color="auto"/>
              <w:right w:val="nil"/>
            </w:tcBorders>
          </w:tcPr>
          <w:p>
            <w:pPr>
              <w:jc w:val="right"/>
              <w:rPr>
                <w:rFonts w:cs="Arial"/>
                <w:bCs/>
                <w:color w:val="000000"/>
                <w:sz w:val="18"/>
                <w:szCs w:val="18"/>
              </w:rPr>
            </w:pPr>
            <w:r>
              <w:rPr>
                <w:rFonts w:cs="Arial"/>
                <w:bCs/>
                <w:color w:val="000000"/>
                <w:sz w:val="18"/>
                <w:szCs w:val="18"/>
              </w:rPr>
              <w:t>2.051</w:t>
            </w:r>
          </w:p>
        </w:tc>
        <w:tc>
          <w:tcPr>
            <w:tcW w:w="115" w:type="dxa"/>
            <w:tcBorders>
              <w:top w:val="nil"/>
              <w:left w:val="nil"/>
              <w:right w:val="nil"/>
            </w:tcBorders>
            <w:vAlign w:val="center"/>
          </w:tcPr>
          <w:p>
            <w:pPr>
              <w:jc w:val="right"/>
              <w:rPr>
                <w:rFonts w:cs="Arial"/>
                <w:bCs/>
                <w:color w:val="000000"/>
                <w:sz w:val="18"/>
                <w:szCs w:val="18"/>
              </w:rPr>
            </w:pPr>
          </w:p>
        </w:tc>
        <w:tc>
          <w:tcPr>
            <w:tcW w:w="991" w:type="dxa"/>
            <w:tcBorders>
              <w:top w:val="nil"/>
              <w:left w:val="nil"/>
              <w:bottom w:val="single" w:sz="4" w:space="0" w:color="auto"/>
              <w:right w:val="nil"/>
            </w:tcBorders>
          </w:tcPr>
          <w:p>
            <w:pPr>
              <w:jc w:val="right"/>
              <w:rPr>
                <w:rFonts w:cs="Arial"/>
                <w:bCs/>
                <w:color w:val="000000"/>
                <w:sz w:val="18"/>
                <w:szCs w:val="18"/>
              </w:rPr>
            </w:pPr>
            <w:r>
              <w:rPr>
                <w:rFonts w:cs="Arial"/>
                <w:bCs/>
                <w:color w:val="000000"/>
                <w:sz w:val="18"/>
                <w:szCs w:val="18"/>
              </w:rPr>
              <w:t>2.051</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82" w:type="dxa"/>
            <w:gridSpan w:val="2"/>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Provisão para contingências</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508" w:type="dxa"/>
            <w:gridSpan w:val="3"/>
            <w:tcBorders>
              <w:top w:val="nil"/>
              <w:left w:val="nil"/>
              <w:bottom w:val="nil"/>
              <w:right w:val="nil"/>
            </w:tcBorders>
          </w:tcPr>
          <w:p>
            <w:pPr>
              <w:jc w:val="center"/>
              <w:rPr>
                <w:rFonts w:cs="Arial"/>
                <w:bCs/>
                <w:color w:val="000000"/>
                <w:sz w:val="18"/>
                <w:szCs w:val="18"/>
              </w:rPr>
            </w:pPr>
            <w:hyperlink w:anchor="_22._PROVISÃO_PARA_1" w:history="1">
              <w:r>
                <w:rPr>
                  <w:rStyle w:val="Hyperlink"/>
                  <w:rFonts w:cs="Arial"/>
                  <w:bCs/>
                  <w:sz w:val="18"/>
                  <w:szCs w:val="18"/>
                </w:rPr>
                <w:t>22</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single" w:sz="4" w:space="0" w:color="auto"/>
              <w:right w:val="nil"/>
            </w:tcBorders>
            <w:vAlign w:val="center"/>
          </w:tcPr>
          <w:p>
            <w:pPr>
              <w:jc w:val="right"/>
              <w:rPr>
                <w:rFonts w:cs="Arial"/>
                <w:bCs/>
                <w:color w:val="000000"/>
                <w:sz w:val="18"/>
                <w:szCs w:val="18"/>
              </w:rPr>
            </w:pPr>
            <w:r>
              <w:rPr>
                <w:rFonts w:cs="Arial"/>
                <w:bCs/>
                <w:color w:val="000000"/>
                <w:sz w:val="18"/>
                <w:szCs w:val="18"/>
              </w:rPr>
              <w:t>30.444</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single" w:sz="4" w:space="0" w:color="auto"/>
              <w:right w:val="single" w:sz="4" w:space="0" w:color="auto"/>
            </w:tcBorders>
            <w:vAlign w:val="center"/>
          </w:tcPr>
          <w:p>
            <w:pPr>
              <w:jc w:val="right"/>
              <w:rPr>
                <w:rFonts w:cs="Arial"/>
                <w:bCs/>
                <w:color w:val="000000"/>
                <w:sz w:val="18"/>
                <w:szCs w:val="18"/>
              </w:rPr>
            </w:pPr>
            <w:r>
              <w:rPr>
                <w:rFonts w:cs="Arial"/>
                <w:bCs/>
                <w:color w:val="000000"/>
                <w:sz w:val="18"/>
                <w:szCs w:val="18"/>
              </w:rPr>
              <w:t>28.319</w:t>
            </w: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
                <w:bCs/>
                <w:color w:val="000000"/>
                <w:sz w:val="18"/>
                <w:szCs w:val="18"/>
              </w:rPr>
            </w:pPr>
            <w:r>
              <w:rPr>
                <w:rFonts w:cs="Arial"/>
                <w:b/>
                <w:bCs/>
                <w:color w:val="000000"/>
                <w:sz w:val="18"/>
                <w:szCs w:val="18"/>
              </w:rPr>
              <w:t>Total do realizável a longo prazo</w:t>
            </w:r>
          </w:p>
        </w:tc>
        <w:tc>
          <w:tcPr>
            <w:tcW w:w="447" w:type="dxa"/>
            <w:tcBorders>
              <w:top w:val="nil"/>
              <w:left w:val="nil"/>
              <w:bottom w:val="nil"/>
              <w:right w:val="nil"/>
            </w:tcBorders>
          </w:tcPr>
          <w:p>
            <w:pPr>
              <w:tabs>
                <w:tab w:val="right" w:pos="2108"/>
              </w:tabs>
              <w:jc w:val="center"/>
              <w:rPr>
                <w:rFonts w:cs="Arial"/>
                <w:bCs/>
                <w:color w:val="000000"/>
                <w:sz w:val="18"/>
                <w:szCs w:val="18"/>
              </w:rPr>
            </w:pPr>
          </w:p>
        </w:tc>
        <w:tc>
          <w:tcPr>
            <w:tcW w:w="125" w:type="dxa"/>
            <w:tcBorders>
              <w:top w:val="nil"/>
              <w:left w:val="nil"/>
              <w:bottom w:val="nil"/>
              <w:right w:val="nil"/>
            </w:tcBorders>
          </w:tcPr>
          <w:p>
            <w:pPr>
              <w:tabs>
                <w:tab w:val="right" w:pos="2108"/>
              </w:tabs>
              <w:jc w:val="right"/>
              <w:rPr>
                <w:rFonts w:cs="Arial"/>
                <w:b/>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right"/>
              <w:rPr>
                <w:rFonts w:cs="Arial"/>
                <w:b/>
                <w:bCs/>
                <w:color w:val="000000"/>
                <w:sz w:val="18"/>
                <w:szCs w:val="18"/>
              </w:rPr>
            </w:pPr>
          </w:p>
        </w:tc>
        <w:tc>
          <w:tcPr>
            <w:tcW w:w="993" w:type="dxa"/>
            <w:tcBorders>
              <w:top w:val="single" w:sz="4" w:space="0" w:color="auto"/>
              <w:left w:val="nil"/>
              <w:bottom w:val="single" w:sz="4" w:space="0" w:color="auto"/>
              <w:right w:val="nil"/>
            </w:tcBorders>
            <w:vAlign w:val="center"/>
          </w:tcPr>
          <w:p>
            <w:pPr>
              <w:jc w:val="right"/>
              <w:rPr>
                <w:rFonts w:cs="Arial"/>
                <w:b/>
                <w:bCs/>
                <w:color w:val="000000"/>
                <w:sz w:val="18"/>
                <w:szCs w:val="18"/>
              </w:rPr>
            </w:pPr>
            <w:r>
              <w:rPr>
                <w:rFonts w:cs="Arial"/>
                <w:b/>
                <w:bCs/>
                <w:color w:val="000000"/>
                <w:sz w:val="18"/>
                <w:szCs w:val="18"/>
              </w:rPr>
              <w:t>44.161</w:t>
            </w:r>
          </w:p>
        </w:tc>
        <w:tc>
          <w:tcPr>
            <w:tcW w:w="115" w:type="dxa"/>
            <w:tcBorders>
              <w:left w:val="nil"/>
              <w:right w:val="nil"/>
            </w:tcBorders>
            <w:vAlign w:val="center"/>
          </w:tcPr>
          <w:p>
            <w:pPr>
              <w:jc w:val="right"/>
              <w:rPr>
                <w:rFonts w:cs="Arial"/>
                <w:b/>
                <w:bCs/>
                <w:color w:val="000000"/>
                <w:sz w:val="18"/>
                <w:szCs w:val="18"/>
              </w:rPr>
            </w:pPr>
          </w:p>
        </w:tc>
        <w:tc>
          <w:tcPr>
            <w:tcW w:w="991" w:type="dxa"/>
            <w:tcBorders>
              <w:top w:val="single" w:sz="4" w:space="0" w:color="auto"/>
              <w:left w:val="nil"/>
              <w:bottom w:val="single" w:sz="4" w:space="0" w:color="auto"/>
              <w:right w:val="nil"/>
            </w:tcBorders>
            <w:vAlign w:val="center"/>
          </w:tcPr>
          <w:p>
            <w:pPr>
              <w:jc w:val="right"/>
              <w:rPr>
                <w:rFonts w:cs="Arial"/>
                <w:b/>
                <w:bCs/>
                <w:color w:val="000000"/>
                <w:sz w:val="18"/>
                <w:szCs w:val="18"/>
              </w:rPr>
            </w:pPr>
            <w:r>
              <w:rPr>
                <w:rFonts w:cs="Arial"/>
                <w:b/>
                <w:bCs/>
                <w:color w:val="000000"/>
                <w:sz w:val="18"/>
                <w:szCs w:val="18"/>
              </w:rPr>
              <w:t>45.598</w:t>
            </w:r>
          </w:p>
        </w:tc>
        <w:tc>
          <w:tcPr>
            <w:tcW w:w="182" w:type="dxa"/>
            <w:gridSpan w:val="2"/>
            <w:tcBorders>
              <w:top w:val="nil"/>
              <w:left w:val="nil"/>
              <w:right w:val="nil"/>
            </w:tcBorders>
          </w:tcPr>
          <w:p>
            <w:pPr>
              <w:tabs>
                <w:tab w:val="right" w:pos="2059"/>
              </w:tabs>
              <w:rPr>
                <w:rFonts w:cs="Arial"/>
                <w:bCs/>
                <w:color w:val="000000"/>
                <w:sz w:val="18"/>
                <w:szCs w:val="18"/>
              </w:rPr>
            </w:pPr>
          </w:p>
        </w:tc>
        <w:tc>
          <w:tcPr>
            <w:tcW w:w="3059" w:type="dxa"/>
            <w:gridSpan w:val="3"/>
            <w:tcBorders>
              <w:top w:val="nil"/>
              <w:left w:val="nil"/>
              <w:bottom w:val="nil"/>
              <w:right w:val="nil"/>
            </w:tcBorders>
            <w:vAlign w:val="center"/>
          </w:tcPr>
          <w:p>
            <w:pPr>
              <w:tabs>
                <w:tab w:val="right" w:pos="2059"/>
              </w:tabs>
              <w:rPr>
                <w:rFonts w:cs="Arial"/>
                <w:b/>
                <w:bCs/>
                <w:color w:val="000000"/>
                <w:sz w:val="18"/>
                <w:szCs w:val="18"/>
              </w:rPr>
            </w:pPr>
            <w:r>
              <w:rPr>
                <w:rFonts w:cs="Arial"/>
                <w:b/>
                <w:bCs/>
                <w:color w:val="000000"/>
                <w:sz w:val="18"/>
                <w:szCs w:val="18"/>
              </w:rPr>
              <w:t>Total do passivo não circulante</w:t>
            </w:r>
          </w:p>
        </w:tc>
        <w:tc>
          <w:tcPr>
            <w:tcW w:w="508" w:type="dxa"/>
            <w:gridSpan w:val="3"/>
            <w:tcBorders>
              <w:top w:val="nil"/>
              <w:left w:val="nil"/>
              <w:bottom w:val="nil"/>
              <w:right w:val="nil"/>
            </w:tcBorders>
          </w:tcPr>
          <w:p>
            <w:pPr>
              <w:jc w:val="center"/>
              <w:rPr>
                <w:rFonts w:cs="Arial"/>
                <w:b/>
                <w:bCs/>
                <w:color w:val="000000"/>
                <w:sz w:val="18"/>
                <w:szCs w:val="18"/>
              </w:rPr>
            </w:pPr>
          </w:p>
        </w:tc>
        <w:tc>
          <w:tcPr>
            <w:tcW w:w="105" w:type="dxa"/>
            <w:tcBorders>
              <w:top w:val="nil"/>
              <w:left w:val="nil"/>
              <w:bottom w:val="nil"/>
              <w:right w:val="nil"/>
            </w:tcBorders>
          </w:tcPr>
          <w:p>
            <w:pPr>
              <w:jc w:val="right"/>
              <w:rPr>
                <w:rFonts w:cs="Arial"/>
                <w:b/>
                <w:bCs/>
                <w:color w:val="000000"/>
                <w:sz w:val="18"/>
                <w:szCs w:val="18"/>
              </w:rPr>
            </w:pPr>
          </w:p>
        </w:tc>
        <w:tc>
          <w:tcPr>
            <w:tcW w:w="1470" w:type="dxa"/>
            <w:tcBorders>
              <w:top w:val="single" w:sz="4" w:space="0" w:color="auto"/>
              <w:left w:val="nil"/>
              <w:bottom w:val="single" w:sz="2" w:space="0" w:color="000000"/>
              <w:right w:val="nil"/>
            </w:tcBorders>
            <w:vAlign w:val="center"/>
          </w:tcPr>
          <w:p>
            <w:pPr>
              <w:jc w:val="right"/>
              <w:rPr>
                <w:rFonts w:cs="Arial"/>
                <w:b/>
                <w:bCs/>
                <w:color w:val="000000"/>
                <w:sz w:val="18"/>
                <w:szCs w:val="18"/>
              </w:rPr>
            </w:pPr>
            <w:r>
              <w:rPr>
                <w:rFonts w:cs="Arial"/>
                <w:b/>
                <w:bCs/>
                <w:color w:val="000000"/>
                <w:sz w:val="18"/>
                <w:szCs w:val="18"/>
              </w:rPr>
              <w:t>45.761</w:t>
            </w:r>
          </w:p>
        </w:tc>
        <w:tc>
          <w:tcPr>
            <w:tcW w:w="171" w:type="dxa"/>
            <w:tcBorders>
              <w:top w:val="nil"/>
              <w:left w:val="nil"/>
              <w:bottom w:val="nil"/>
              <w:right w:val="nil"/>
            </w:tcBorders>
          </w:tcPr>
          <w:p>
            <w:pPr>
              <w:jc w:val="right"/>
              <w:rPr>
                <w:rFonts w:cs="Arial"/>
                <w:b/>
                <w:bCs/>
                <w:color w:val="000000"/>
                <w:sz w:val="18"/>
                <w:szCs w:val="18"/>
              </w:rPr>
            </w:pPr>
          </w:p>
        </w:tc>
        <w:tc>
          <w:tcPr>
            <w:tcW w:w="1631" w:type="dxa"/>
            <w:gridSpan w:val="2"/>
            <w:tcBorders>
              <w:top w:val="single" w:sz="4" w:space="0" w:color="auto"/>
              <w:left w:val="nil"/>
              <w:bottom w:val="single" w:sz="4" w:space="0" w:color="auto"/>
              <w:right w:val="single" w:sz="4" w:space="0" w:color="auto"/>
            </w:tcBorders>
            <w:vAlign w:val="center"/>
          </w:tcPr>
          <w:p>
            <w:pPr>
              <w:jc w:val="right"/>
              <w:rPr>
                <w:rFonts w:cs="Arial"/>
                <w:b/>
                <w:bCs/>
                <w:color w:val="000000"/>
                <w:sz w:val="18"/>
                <w:szCs w:val="18"/>
              </w:rPr>
            </w:pPr>
            <w:r>
              <w:rPr>
                <w:rFonts w:cs="Arial"/>
                <w:b/>
                <w:bCs/>
                <w:color w:val="000000"/>
                <w:sz w:val="18"/>
                <w:szCs w:val="18"/>
              </w:rPr>
              <w:t>43.856</w:t>
            </w: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p>
        </w:tc>
        <w:tc>
          <w:tcPr>
            <w:tcW w:w="447" w:type="dxa"/>
            <w:tcBorders>
              <w:left w:val="nil"/>
              <w:bottom w:val="nil"/>
              <w:right w:val="nil"/>
            </w:tcBorders>
          </w:tcPr>
          <w:p>
            <w:pPr>
              <w:jc w:val="center"/>
              <w:rPr>
                <w:rFonts w:cs="Arial"/>
                <w:bCs/>
                <w:color w:val="000000"/>
                <w:sz w:val="18"/>
                <w:szCs w:val="18"/>
              </w:rPr>
            </w:pPr>
          </w:p>
        </w:tc>
        <w:tc>
          <w:tcPr>
            <w:tcW w:w="125" w:type="dxa"/>
            <w:tcBorders>
              <w:left w:val="nil"/>
              <w:bottom w:val="nil"/>
              <w:right w:val="nil"/>
            </w:tcBorders>
          </w:tcPr>
          <w:p>
            <w:pPr>
              <w:jc w:val="right"/>
              <w:rPr>
                <w:rFonts w:cs="Arial"/>
                <w:bCs/>
                <w:color w:val="000000"/>
                <w:sz w:val="18"/>
                <w:szCs w:val="18"/>
              </w:rPr>
            </w:pPr>
          </w:p>
        </w:tc>
        <w:tc>
          <w:tcPr>
            <w:tcW w:w="1013" w:type="dxa"/>
            <w:gridSpan w:val="2"/>
            <w:tcBorders>
              <w:left w:val="nil"/>
              <w:right w:val="nil"/>
            </w:tcBorders>
            <w:vAlign w:val="center"/>
          </w:tcPr>
          <w:p>
            <w:pPr>
              <w:jc w:val="right"/>
              <w:rPr>
                <w:rFonts w:cs="Arial"/>
                <w:b/>
                <w:bCs/>
                <w:color w:val="000000"/>
                <w:sz w:val="18"/>
                <w:szCs w:val="18"/>
              </w:rPr>
            </w:pPr>
          </w:p>
        </w:tc>
        <w:tc>
          <w:tcPr>
            <w:tcW w:w="115" w:type="dxa"/>
            <w:tcBorders>
              <w:left w:val="nil"/>
              <w:bottom w:val="nil"/>
              <w:right w:val="nil"/>
            </w:tcBorders>
          </w:tcPr>
          <w:p>
            <w:pPr>
              <w:jc w:val="right"/>
              <w:rPr>
                <w:rFonts w:cs="Arial"/>
                <w:b/>
                <w:bCs/>
                <w:color w:val="000000"/>
                <w:sz w:val="18"/>
                <w:szCs w:val="18"/>
              </w:rPr>
            </w:pPr>
          </w:p>
        </w:tc>
        <w:tc>
          <w:tcPr>
            <w:tcW w:w="1011" w:type="dxa"/>
            <w:gridSpan w:val="2"/>
            <w:tcBorders>
              <w:left w:val="nil"/>
              <w:right w:val="nil"/>
            </w:tcBorders>
            <w:vAlign w:val="center"/>
          </w:tcPr>
          <w:p>
            <w:pPr>
              <w:jc w:val="right"/>
              <w:rPr>
                <w:rFonts w:cs="Arial"/>
                <w:b/>
                <w:bCs/>
                <w:color w:val="000000"/>
                <w:sz w:val="18"/>
                <w:szCs w:val="18"/>
              </w:rPr>
            </w:pPr>
          </w:p>
        </w:tc>
        <w:tc>
          <w:tcPr>
            <w:tcW w:w="182" w:type="dxa"/>
            <w:gridSpan w:val="2"/>
            <w:tcBorders>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
                <w:bCs/>
                <w:color w:val="000000"/>
                <w:sz w:val="18"/>
                <w:szCs w:val="18"/>
              </w:rPr>
            </w:pPr>
          </w:p>
        </w:tc>
        <w:tc>
          <w:tcPr>
            <w:tcW w:w="486" w:type="dxa"/>
            <w:gridSpan w:val="2"/>
            <w:tcBorders>
              <w:left w:val="nil"/>
              <w:right w:val="nil"/>
            </w:tcBorders>
          </w:tcPr>
          <w:p>
            <w:pPr>
              <w:jc w:val="center"/>
              <w:rPr>
                <w:rFonts w:cs="Arial"/>
                <w:b/>
                <w:bCs/>
                <w:color w:val="000000"/>
                <w:sz w:val="18"/>
                <w:szCs w:val="18"/>
              </w:rPr>
            </w:pPr>
          </w:p>
        </w:tc>
        <w:tc>
          <w:tcPr>
            <w:tcW w:w="105" w:type="dxa"/>
            <w:tcBorders>
              <w:left w:val="nil"/>
              <w:right w:val="nil"/>
            </w:tcBorders>
          </w:tcPr>
          <w:p>
            <w:pPr>
              <w:jc w:val="right"/>
              <w:rPr>
                <w:rFonts w:cs="Arial"/>
                <w:b/>
                <w:bCs/>
                <w:color w:val="000000"/>
                <w:sz w:val="18"/>
                <w:szCs w:val="18"/>
              </w:rPr>
            </w:pPr>
          </w:p>
        </w:tc>
        <w:tc>
          <w:tcPr>
            <w:tcW w:w="1470" w:type="dxa"/>
            <w:tcBorders>
              <w:top w:val="single" w:sz="2" w:space="0" w:color="000000"/>
              <w:left w:val="nil"/>
              <w:right w:val="nil"/>
            </w:tcBorders>
            <w:vAlign w:val="center"/>
          </w:tcPr>
          <w:p>
            <w:pPr>
              <w:jc w:val="right"/>
              <w:rPr>
                <w:rFonts w:cs="Arial"/>
                <w:b/>
                <w:bCs/>
                <w:color w:val="000000"/>
                <w:sz w:val="18"/>
                <w:szCs w:val="18"/>
              </w:rPr>
            </w:pPr>
          </w:p>
        </w:tc>
        <w:tc>
          <w:tcPr>
            <w:tcW w:w="171" w:type="dxa"/>
            <w:tcBorders>
              <w:left w:val="nil"/>
              <w:right w:val="nil"/>
            </w:tcBorders>
          </w:tcPr>
          <w:p>
            <w:pPr>
              <w:jc w:val="right"/>
              <w:rPr>
                <w:rFonts w:cs="Arial"/>
                <w:b/>
                <w:bCs/>
                <w:color w:val="000000"/>
                <w:sz w:val="18"/>
                <w:szCs w:val="18"/>
              </w:rPr>
            </w:pPr>
          </w:p>
        </w:tc>
        <w:tc>
          <w:tcPr>
            <w:tcW w:w="1631" w:type="dxa"/>
            <w:gridSpan w:val="2"/>
            <w:tcBorders>
              <w:top w:val="single" w:sz="2" w:space="0" w:color="000000"/>
              <w:left w:val="nil"/>
              <w:right w:val="single" w:sz="4" w:space="0" w:color="auto"/>
            </w:tcBorders>
            <w:vAlign w:val="center"/>
          </w:tcPr>
          <w:p>
            <w:pPr>
              <w:jc w:val="right"/>
              <w:rPr>
                <w:rFonts w:cs="Arial"/>
                <w:b/>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Investimentos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13._INVESTIMENTOS_1" w:history="1">
              <w:r>
                <w:rPr>
                  <w:rStyle w:val="Hyperlink"/>
                  <w:rFonts w:cs="Arial"/>
                  <w:bCs/>
                  <w:sz w:val="18"/>
                  <w:szCs w:val="18"/>
                </w:rPr>
                <w:t>13</w:t>
              </w:r>
            </w:hyperlink>
          </w:p>
        </w:tc>
        <w:tc>
          <w:tcPr>
            <w:tcW w:w="125" w:type="dxa"/>
            <w:tcBorders>
              <w:top w:val="nil"/>
              <w:left w:val="nil"/>
              <w:bottom w:val="nil"/>
              <w:right w:val="nil"/>
            </w:tcBorders>
          </w:tcPr>
          <w:p>
            <w:pPr>
              <w:tabs>
                <w:tab w:val="right" w:pos="2108"/>
              </w:tabs>
              <w:rPr>
                <w:rFonts w:cs="Arial"/>
                <w:bCs/>
                <w:color w:val="000000"/>
                <w:sz w:val="18"/>
                <w:szCs w:val="18"/>
              </w:rPr>
            </w:pPr>
          </w:p>
        </w:tc>
        <w:tc>
          <w:tcPr>
            <w:tcW w:w="20" w:type="dxa"/>
            <w:tcBorders>
              <w:left w:val="nil"/>
              <w:bottom w:val="nil"/>
              <w:right w:val="nil"/>
            </w:tcBorders>
            <w:tcMar>
              <w:left w:w="0" w:type="dxa"/>
              <w:right w:w="0" w:type="dxa"/>
            </w:tcMar>
            <w:vAlign w:val="center"/>
          </w:tcPr>
          <w:p>
            <w:pPr>
              <w:tabs>
                <w:tab w:val="right" w:pos="2108"/>
              </w:tabs>
              <w:rPr>
                <w:rFonts w:cs="Arial"/>
                <w:bCs/>
                <w:color w:val="000000"/>
                <w:sz w:val="18"/>
                <w:szCs w:val="18"/>
              </w:rPr>
            </w:pPr>
            <w:r>
              <w:rPr>
                <w:rFonts w:cs="Arial"/>
                <w:bCs/>
                <w:color w:val="000000"/>
                <w:sz w:val="18"/>
                <w:szCs w:val="18"/>
              </w:rPr>
              <w:t xml:space="preserve">                      </w:t>
            </w:r>
          </w:p>
        </w:tc>
        <w:tc>
          <w:tcPr>
            <w:tcW w:w="993" w:type="dxa"/>
            <w:tcBorders>
              <w:left w:val="nil"/>
              <w:right w:val="nil"/>
            </w:tcBorders>
          </w:tcPr>
          <w:p>
            <w:pPr>
              <w:jc w:val="right"/>
              <w:rPr>
                <w:rFonts w:cs="Arial"/>
                <w:bCs/>
                <w:color w:val="000000"/>
                <w:sz w:val="18"/>
                <w:szCs w:val="18"/>
              </w:rPr>
            </w:pPr>
            <w:r>
              <w:rPr>
                <w:rFonts w:cs="Arial"/>
                <w:bCs/>
                <w:color w:val="000000"/>
                <w:sz w:val="18"/>
                <w:szCs w:val="18"/>
              </w:rPr>
              <w:t>251</w:t>
            </w:r>
          </w:p>
        </w:tc>
        <w:tc>
          <w:tcPr>
            <w:tcW w:w="115" w:type="dxa"/>
            <w:tcBorders>
              <w:top w:val="nil"/>
              <w:left w:val="nil"/>
              <w:right w:val="nil"/>
            </w:tcBorders>
            <w:vAlign w:val="center"/>
          </w:tcPr>
          <w:p>
            <w:pPr>
              <w:jc w:val="right"/>
              <w:rPr>
                <w:rFonts w:cs="Arial"/>
                <w:bCs/>
                <w:color w:val="000000"/>
                <w:sz w:val="18"/>
                <w:szCs w:val="18"/>
              </w:rPr>
            </w:pPr>
          </w:p>
        </w:tc>
        <w:tc>
          <w:tcPr>
            <w:tcW w:w="991" w:type="dxa"/>
            <w:tcBorders>
              <w:top w:val="nil"/>
              <w:left w:val="nil"/>
              <w:right w:val="nil"/>
            </w:tcBorders>
            <w:vAlign w:val="center"/>
          </w:tcPr>
          <w:p>
            <w:pPr>
              <w:jc w:val="right"/>
              <w:rPr>
                <w:rFonts w:cs="Arial"/>
                <w:bCs/>
                <w:color w:val="000000"/>
                <w:sz w:val="18"/>
                <w:szCs w:val="18"/>
              </w:rPr>
            </w:pPr>
            <w:r>
              <w:rPr>
                <w:rFonts w:cs="Arial"/>
                <w:bCs/>
                <w:color w:val="000000"/>
                <w:sz w:val="18"/>
                <w:szCs w:val="18"/>
              </w:rPr>
              <w:t>251</w:t>
            </w:r>
          </w:p>
        </w:tc>
        <w:tc>
          <w:tcPr>
            <w:tcW w:w="182" w:type="dxa"/>
            <w:gridSpan w:val="2"/>
            <w:tcBorders>
              <w:top w:val="nil"/>
              <w:left w:val="nil"/>
              <w:bottom w:val="nil"/>
              <w:right w:val="nil"/>
            </w:tcBorders>
          </w:tcPr>
          <w:p>
            <w:pPr>
              <w:rPr>
                <w:rFonts w:cs="Arial"/>
                <w:bCs/>
                <w:color w:val="000000"/>
                <w:sz w:val="18"/>
                <w:szCs w:val="18"/>
              </w:rPr>
            </w:pPr>
          </w:p>
        </w:tc>
        <w:tc>
          <w:tcPr>
            <w:tcW w:w="3059" w:type="dxa"/>
            <w:gridSpan w:val="3"/>
            <w:tcBorders>
              <w:top w:val="nil"/>
              <w:left w:val="nil"/>
              <w:bottom w:val="nil"/>
              <w:right w:val="nil"/>
            </w:tcBorders>
            <w:vAlign w:val="center"/>
          </w:tcPr>
          <w:p>
            <w:pPr>
              <w:rPr>
                <w:rFonts w:cs="Arial"/>
                <w:bCs/>
                <w:color w:val="000000"/>
                <w:sz w:val="18"/>
                <w:szCs w:val="18"/>
              </w:rPr>
            </w:pPr>
            <w:r>
              <w:rPr>
                <w:rFonts w:cs="Arial"/>
                <w:b/>
                <w:bCs/>
                <w:color w:val="000000"/>
                <w:sz w:val="18"/>
                <w:szCs w:val="18"/>
              </w:rPr>
              <w:t>Patrimônio líquido</w:t>
            </w:r>
          </w:p>
        </w:tc>
        <w:tc>
          <w:tcPr>
            <w:tcW w:w="508" w:type="dxa"/>
            <w:gridSpan w:val="3"/>
            <w:tcBorders>
              <w:left w:val="nil"/>
              <w:bottom w:val="nil"/>
              <w:right w:val="nil"/>
            </w:tcBorders>
          </w:tcPr>
          <w:p>
            <w:pPr>
              <w:jc w:val="center"/>
              <w:rPr>
                <w:rFonts w:cs="Arial"/>
                <w:bCs/>
                <w:color w:val="000000"/>
                <w:sz w:val="18"/>
                <w:szCs w:val="18"/>
              </w:rPr>
            </w:pPr>
          </w:p>
        </w:tc>
        <w:tc>
          <w:tcPr>
            <w:tcW w:w="105" w:type="dxa"/>
            <w:tcBorders>
              <w:left w:val="nil"/>
              <w:bottom w:val="nil"/>
              <w:right w:val="nil"/>
            </w:tcBorders>
          </w:tcPr>
          <w:p>
            <w:pPr>
              <w:jc w:val="right"/>
              <w:rPr>
                <w:rFonts w:cs="Arial"/>
                <w:bCs/>
                <w:color w:val="000000"/>
                <w:sz w:val="18"/>
                <w:szCs w:val="18"/>
              </w:rPr>
            </w:pPr>
          </w:p>
        </w:tc>
        <w:tc>
          <w:tcPr>
            <w:tcW w:w="1470" w:type="dxa"/>
            <w:tcBorders>
              <w:left w:val="nil"/>
              <w:bottom w:val="nil"/>
              <w:right w:val="nil"/>
            </w:tcBorders>
            <w:vAlign w:val="center"/>
          </w:tcPr>
          <w:p>
            <w:pPr>
              <w:jc w:val="right"/>
              <w:rPr>
                <w:rFonts w:cs="Arial"/>
                <w:bCs/>
                <w:color w:val="000000"/>
                <w:sz w:val="18"/>
                <w:szCs w:val="18"/>
              </w:rPr>
            </w:pPr>
          </w:p>
        </w:tc>
        <w:tc>
          <w:tcPr>
            <w:tcW w:w="171" w:type="dxa"/>
            <w:tcBorders>
              <w:left w:val="nil"/>
              <w:bottom w:val="nil"/>
              <w:right w:val="nil"/>
            </w:tcBorders>
          </w:tcPr>
          <w:p>
            <w:pPr>
              <w:jc w:val="right"/>
              <w:rPr>
                <w:rFonts w:cs="Arial"/>
                <w:bCs/>
                <w:color w:val="000000"/>
                <w:sz w:val="18"/>
                <w:szCs w:val="18"/>
              </w:rPr>
            </w:pPr>
          </w:p>
        </w:tc>
        <w:tc>
          <w:tcPr>
            <w:tcW w:w="1631" w:type="dxa"/>
            <w:gridSpan w:val="2"/>
            <w:tcBorders>
              <w:left w:val="nil"/>
              <w:right w:val="single" w:sz="4" w:space="0" w:color="auto"/>
            </w:tcBorders>
            <w:vAlign w:val="center"/>
          </w:tcPr>
          <w:p>
            <w:pPr>
              <w:jc w:val="right"/>
              <w:rPr>
                <w:rFonts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rPr>
                <w:rFonts w:cs="Arial"/>
                <w:bCs/>
                <w:color w:val="000000"/>
                <w:sz w:val="18"/>
                <w:szCs w:val="18"/>
              </w:rPr>
            </w:pPr>
            <w:r>
              <w:rPr>
                <w:rFonts w:cs="Arial"/>
                <w:bCs/>
                <w:color w:val="000000"/>
                <w:sz w:val="18"/>
                <w:szCs w:val="18"/>
              </w:rPr>
              <w:t xml:space="preserve">Imobilizado                                                                          </w:t>
            </w:r>
          </w:p>
        </w:tc>
        <w:tc>
          <w:tcPr>
            <w:tcW w:w="447" w:type="dxa"/>
            <w:tcBorders>
              <w:top w:val="nil"/>
              <w:left w:val="nil"/>
              <w:bottom w:val="nil"/>
              <w:right w:val="nil"/>
            </w:tcBorders>
          </w:tcPr>
          <w:p>
            <w:pPr>
              <w:tabs>
                <w:tab w:val="right" w:pos="2108"/>
              </w:tabs>
              <w:jc w:val="center"/>
              <w:rPr>
                <w:rFonts w:cs="Arial"/>
                <w:bCs/>
                <w:color w:val="000000"/>
                <w:sz w:val="18"/>
                <w:szCs w:val="18"/>
              </w:rPr>
            </w:pPr>
            <w:hyperlink w:anchor="_14._IMOBILIZADO_1" w:history="1">
              <w:r>
                <w:rPr>
                  <w:rStyle w:val="Hyperlink"/>
                  <w:rFonts w:cs="Arial"/>
                  <w:bCs/>
                  <w:sz w:val="18"/>
                  <w:szCs w:val="18"/>
                </w:rPr>
                <w:t>14</w:t>
              </w:r>
            </w:hyperlink>
          </w:p>
        </w:tc>
        <w:tc>
          <w:tcPr>
            <w:tcW w:w="125" w:type="dxa"/>
            <w:tcBorders>
              <w:top w:val="nil"/>
              <w:left w:val="nil"/>
              <w:bottom w:val="nil"/>
              <w:right w:val="nil"/>
            </w:tcBorders>
          </w:tcPr>
          <w:p>
            <w:pPr>
              <w:tabs>
                <w:tab w:val="right" w:pos="2108"/>
              </w:tabs>
              <w:jc w:val="center"/>
              <w:rPr>
                <w:rFonts w:cs="Arial"/>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center"/>
              <w:rPr>
                <w:rFonts w:cs="Arial"/>
                <w:bCs/>
                <w:color w:val="000000"/>
                <w:sz w:val="18"/>
                <w:szCs w:val="18"/>
              </w:rPr>
            </w:pPr>
          </w:p>
        </w:tc>
        <w:tc>
          <w:tcPr>
            <w:tcW w:w="993" w:type="dxa"/>
            <w:tcBorders>
              <w:top w:val="nil"/>
              <w:left w:val="nil"/>
              <w:right w:val="nil"/>
            </w:tcBorders>
          </w:tcPr>
          <w:p>
            <w:pPr>
              <w:jc w:val="right"/>
              <w:rPr>
                <w:rFonts w:cs="Arial"/>
                <w:bCs/>
                <w:color w:val="000000"/>
                <w:sz w:val="18"/>
                <w:szCs w:val="18"/>
              </w:rPr>
            </w:pPr>
            <w:r>
              <w:rPr>
                <w:rFonts w:cs="Arial"/>
                <w:bCs/>
                <w:color w:val="000000"/>
                <w:sz w:val="18"/>
                <w:szCs w:val="18"/>
              </w:rPr>
              <w:t>205.725</w:t>
            </w:r>
          </w:p>
        </w:tc>
        <w:tc>
          <w:tcPr>
            <w:tcW w:w="115" w:type="dxa"/>
            <w:tcBorders>
              <w:top w:val="nil"/>
              <w:left w:val="nil"/>
              <w:right w:val="nil"/>
            </w:tcBorders>
            <w:vAlign w:val="center"/>
          </w:tcPr>
          <w:p>
            <w:pPr>
              <w:tabs>
                <w:tab w:val="right" w:pos="2108"/>
              </w:tabs>
              <w:jc w:val="center"/>
              <w:rPr>
                <w:rFonts w:cs="Arial"/>
                <w:bCs/>
                <w:color w:val="000000"/>
                <w:sz w:val="18"/>
                <w:szCs w:val="18"/>
              </w:rPr>
            </w:pPr>
          </w:p>
        </w:tc>
        <w:tc>
          <w:tcPr>
            <w:tcW w:w="991" w:type="dxa"/>
            <w:tcBorders>
              <w:top w:val="nil"/>
              <w:left w:val="nil"/>
              <w:right w:val="nil"/>
            </w:tcBorders>
          </w:tcPr>
          <w:p>
            <w:pPr>
              <w:jc w:val="right"/>
              <w:rPr>
                <w:rFonts w:cs="Arial"/>
                <w:bCs/>
                <w:color w:val="000000"/>
                <w:sz w:val="18"/>
                <w:szCs w:val="18"/>
              </w:rPr>
            </w:pPr>
            <w:r>
              <w:rPr>
                <w:rFonts w:cs="Arial"/>
                <w:bCs/>
                <w:color w:val="000000"/>
                <w:sz w:val="18"/>
                <w:szCs w:val="18"/>
              </w:rPr>
              <w:t>207.490</w:t>
            </w:r>
          </w:p>
        </w:tc>
        <w:tc>
          <w:tcPr>
            <w:tcW w:w="182" w:type="dxa"/>
            <w:gridSpan w:val="2"/>
            <w:tcBorders>
              <w:top w:val="nil"/>
              <w:left w:val="nil"/>
              <w:bottom w:val="nil"/>
              <w:right w:val="nil"/>
            </w:tcBorders>
          </w:tcPr>
          <w:p>
            <w:pPr>
              <w:rPr>
                <w:rFonts w:cs="Arial"/>
                <w:bCs/>
                <w:color w:val="000000"/>
                <w:sz w:val="18"/>
                <w:szCs w:val="18"/>
              </w:rPr>
            </w:pPr>
          </w:p>
        </w:tc>
        <w:tc>
          <w:tcPr>
            <w:tcW w:w="3059" w:type="dxa"/>
            <w:gridSpan w:val="3"/>
            <w:tcBorders>
              <w:top w:val="nil"/>
              <w:left w:val="nil"/>
              <w:bottom w:val="nil"/>
              <w:right w:val="nil"/>
            </w:tcBorders>
            <w:vAlign w:val="center"/>
          </w:tcPr>
          <w:p>
            <w:pPr>
              <w:rPr>
                <w:rFonts w:cs="Arial"/>
                <w:b/>
                <w:bCs/>
                <w:color w:val="000000"/>
                <w:sz w:val="18"/>
                <w:szCs w:val="18"/>
              </w:rPr>
            </w:pPr>
            <w:r>
              <w:rPr>
                <w:rFonts w:cs="Arial"/>
                <w:bCs/>
                <w:color w:val="000000"/>
                <w:sz w:val="18"/>
                <w:szCs w:val="18"/>
              </w:rPr>
              <w:t>Capital social</w:t>
            </w:r>
          </w:p>
        </w:tc>
        <w:tc>
          <w:tcPr>
            <w:tcW w:w="508" w:type="dxa"/>
            <w:gridSpan w:val="3"/>
            <w:tcBorders>
              <w:top w:val="nil"/>
              <w:left w:val="nil"/>
              <w:bottom w:val="nil"/>
              <w:right w:val="nil"/>
            </w:tcBorders>
          </w:tcPr>
          <w:p>
            <w:pPr>
              <w:jc w:val="center"/>
              <w:rPr>
                <w:rFonts w:cs="Arial"/>
                <w:bCs/>
                <w:color w:val="000000"/>
                <w:sz w:val="18"/>
                <w:szCs w:val="18"/>
              </w:rPr>
            </w:pPr>
            <w:hyperlink w:anchor="_23._PATRIMÔNIO_LÍQUIDO_1" w:history="1">
              <w:r>
                <w:rPr>
                  <w:rStyle w:val="Hyperlink"/>
                  <w:rFonts w:cs="Arial"/>
                  <w:bCs/>
                  <w:sz w:val="18"/>
                  <w:szCs w:val="18"/>
                </w:rPr>
                <w:t>23</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137.041</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137.041</w:t>
            </w: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r>
              <w:rPr>
                <w:rFonts w:cs="Arial"/>
                <w:bCs/>
                <w:color w:val="000000"/>
                <w:sz w:val="18"/>
                <w:szCs w:val="18"/>
              </w:rPr>
              <w:t xml:space="preserve">Intangível                                                                     </w:t>
            </w:r>
          </w:p>
        </w:tc>
        <w:tc>
          <w:tcPr>
            <w:tcW w:w="447" w:type="dxa"/>
            <w:tcBorders>
              <w:left w:val="nil"/>
              <w:right w:val="nil"/>
            </w:tcBorders>
          </w:tcPr>
          <w:p>
            <w:pPr>
              <w:jc w:val="center"/>
              <w:rPr>
                <w:rFonts w:cs="Arial"/>
                <w:bCs/>
                <w:color w:val="000000"/>
                <w:sz w:val="18"/>
                <w:szCs w:val="18"/>
              </w:rPr>
            </w:pPr>
            <w:hyperlink w:anchor="_15._INTANGÍVEL_1" w:history="1">
              <w:r>
                <w:rPr>
                  <w:rStyle w:val="Hyperlink"/>
                  <w:rFonts w:cs="Arial"/>
                  <w:bCs/>
                  <w:sz w:val="18"/>
                  <w:szCs w:val="18"/>
                </w:rPr>
                <w:t>15</w:t>
              </w:r>
            </w:hyperlink>
          </w:p>
        </w:tc>
        <w:tc>
          <w:tcPr>
            <w:tcW w:w="125" w:type="dxa"/>
            <w:tcBorders>
              <w:left w:val="nil"/>
              <w:right w:val="nil"/>
            </w:tcBorders>
          </w:tcPr>
          <w:p>
            <w:pPr>
              <w:jc w:val="right"/>
              <w:rPr>
                <w:rFonts w:cs="Arial"/>
                <w:b/>
                <w:bCs/>
                <w:color w:val="000000"/>
                <w:sz w:val="18"/>
                <w:szCs w:val="18"/>
              </w:rPr>
            </w:pPr>
          </w:p>
        </w:tc>
        <w:tc>
          <w:tcPr>
            <w:tcW w:w="1013" w:type="dxa"/>
            <w:gridSpan w:val="2"/>
            <w:tcBorders>
              <w:left w:val="nil"/>
              <w:bottom w:val="single" w:sz="4" w:space="0" w:color="auto"/>
              <w:right w:val="nil"/>
            </w:tcBorders>
            <w:vAlign w:val="center"/>
          </w:tcPr>
          <w:p>
            <w:pPr>
              <w:jc w:val="right"/>
              <w:rPr>
                <w:rFonts w:cs="Arial"/>
                <w:bCs/>
                <w:color w:val="000000"/>
                <w:sz w:val="18"/>
                <w:szCs w:val="18"/>
              </w:rPr>
            </w:pPr>
            <w:r>
              <w:rPr>
                <w:rFonts w:cs="Arial"/>
                <w:bCs/>
                <w:color w:val="000000"/>
                <w:sz w:val="18"/>
                <w:szCs w:val="18"/>
              </w:rPr>
              <w:t>426</w:t>
            </w:r>
          </w:p>
        </w:tc>
        <w:tc>
          <w:tcPr>
            <w:tcW w:w="115" w:type="dxa"/>
            <w:tcBorders>
              <w:left w:val="nil"/>
              <w:right w:val="nil"/>
            </w:tcBorders>
          </w:tcPr>
          <w:p>
            <w:pPr>
              <w:jc w:val="right"/>
              <w:rPr>
                <w:rFonts w:cs="Arial"/>
                <w:b/>
                <w:bCs/>
                <w:color w:val="000000"/>
                <w:sz w:val="18"/>
                <w:szCs w:val="18"/>
              </w:rPr>
            </w:pPr>
          </w:p>
        </w:tc>
        <w:tc>
          <w:tcPr>
            <w:tcW w:w="1011" w:type="dxa"/>
            <w:gridSpan w:val="2"/>
            <w:tcBorders>
              <w:left w:val="nil"/>
              <w:right w:val="nil"/>
            </w:tcBorders>
            <w:vAlign w:val="center"/>
          </w:tcPr>
          <w:p>
            <w:pPr>
              <w:jc w:val="right"/>
              <w:rPr>
                <w:rFonts w:cs="Arial"/>
                <w:bCs/>
                <w:color w:val="000000"/>
                <w:sz w:val="18"/>
                <w:szCs w:val="18"/>
              </w:rPr>
            </w:pPr>
            <w:r>
              <w:rPr>
                <w:rFonts w:cs="Arial"/>
                <w:bCs/>
                <w:color w:val="000000"/>
                <w:sz w:val="18"/>
                <w:szCs w:val="18"/>
              </w:rPr>
              <w:t>476</w:t>
            </w: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62" w:type="dxa"/>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 xml:space="preserve">Reserva legal                                                      </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3.513</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3.513</w:t>
            </w: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r>
              <w:rPr>
                <w:rFonts w:cs="Arial"/>
                <w:b/>
                <w:bCs/>
                <w:color w:val="000000"/>
                <w:sz w:val="18"/>
                <w:szCs w:val="18"/>
              </w:rPr>
              <w:t>Total do ativo não circulante</w:t>
            </w:r>
          </w:p>
        </w:tc>
        <w:tc>
          <w:tcPr>
            <w:tcW w:w="447" w:type="dxa"/>
            <w:tcBorders>
              <w:left w:val="nil"/>
              <w:right w:val="nil"/>
            </w:tcBorders>
          </w:tcPr>
          <w:p>
            <w:pPr>
              <w:jc w:val="center"/>
              <w:rPr>
                <w:rFonts w:cs="Arial"/>
                <w:bCs/>
                <w:color w:val="000000"/>
                <w:sz w:val="18"/>
                <w:szCs w:val="18"/>
              </w:rPr>
            </w:pPr>
          </w:p>
        </w:tc>
        <w:tc>
          <w:tcPr>
            <w:tcW w:w="125" w:type="dxa"/>
            <w:tcBorders>
              <w:left w:val="nil"/>
              <w:right w:val="nil"/>
            </w:tcBorders>
          </w:tcPr>
          <w:p>
            <w:pPr>
              <w:jc w:val="right"/>
              <w:rPr>
                <w:rFonts w:cs="Arial"/>
                <w:bCs/>
                <w:color w:val="000000"/>
                <w:sz w:val="18"/>
                <w:szCs w:val="18"/>
              </w:rPr>
            </w:pPr>
          </w:p>
        </w:tc>
        <w:tc>
          <w:tcPr>
            <w:tcW w:w="1013" w:type="dxa"/>
            <w:gridSpan w:val="2"/>
            <w:tcBorders>
              <w:top w:val="single" w:sz="4" w:space="0" w:color="auto"/>
              <w:left w:val="nil"/>
              <w:bottom w:val="single" w:sz="4" w:space="0" w:color="auto"/>
              <w:right w:val="nil"/>
            </w:tcBorders>
            <w:vAlign w:val="center"/>
          </w:tcPr>
          <w:p>
            <w:pPr>
              <w:jc w:val="right"/>
              <w:rPr>
                <w:rFonts w:cs="Arial"/>
                <w:bCs/>
                <w:color w:val="000000"/>
                <w:sz w:val="18"/>
                <w:szCs w:val="18"/>
              </w:rPr>
            </w:pPr>
            <w:r>
              <w:rPr>
                <w:rFonts w:cs="Arial"/>
                <w:b/>
                <w:bCs/>
                <w:color w:val="000000"/>
                <w:sz w:val="18"/>
                <w:szCs w:val="18"/>
              </w:rPr>
              <w:t>250.563</w:t>
            </w:r>
          </w:p>
        </w:tc>
        <w:tc>
          <w:tcPr>
            <w:tcW w:w="115" w:type="dxa"/>
            <w:tcBorders>
              <w:left w:val="nil"/>
              <w:right w:val="nil"/>
            </w:tcBorders>
          </w:tcPr>
          <w:p>
            <w:pPr>
              <w:jc w:val="right"/>
              <w:rPr>
                <w:rFonts w:cs="Arial"/>
                <w:bCs/>
                <w:color w:val="000000"/>
                <w:sz w:val="18"/>
                <w:szCs w:val="18"/>
                <w:highlight w:val="yellow"/>
              </w:rPr>
            </w:pPr>
          </w:p>
        </w:tc>
        <w:tc>
          <w:tcPr>
            <w:tcW w:w="1011" w:type="dxa"/>
            <w:gridSpan w:val="2"/>
            <w:tcBorders>
              <w:top w:val="single" w:sz="4" w:space="0" w:color="auto"/>
              <w:left w:val="nil"/>
              <w:bottom w:val="single" w:sz="4" w:space="0" w:color="auto"/>
              <w:right w:val="nil"/>
            </w:tcBorders>
            <w:vAlign w:val="center"/>
          </w:tcPr>
          <w:p>
            <w:pPr>
              <w:jc w:val="right"/>
              <w:rPr>
                <w:rFonts w:cs="Arial"/>
                <w:bCs/>
                <w:color w:val="000000"/>
                <w:sz w:val="18"/>
                <w:szCs w:val="18"/>
              </w:rPr>
            </w:pPr>
            <w:r>
              <w:rPr>
                <w:rFonts w:cs="Arial"/>
                <w:b/>
                <w:bCs/>
                <w:color w:val="000000"/>
                <w:sz w:val="18"/>
                <w:szCs w:val="18"/>
              </w:rPr>
              <w:t>253.815</w:t>
            </w:r>
          </w:p>
        </w:tc>
        <w:tc>
          <w:tcPr>
            <w:tcW w:w="182" w:type="dxa"/>
            <w:gridSpan w:val="2"/>
            <w:tcBorders>
              <w:top w:val="nil"/>
              <w:left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Cs/>
                <w:color w:val="000000"/>
                <w:sz w:val="18"/>
                <w:szCs w:val="18"/>
              </w:rPr>
            </w:pPr>
            <w:r>
              <w:rPr>
                <w:rFonts w:cs="Arial"/>
                <w:bCs/>
                <w:color w:val="000000"/>
                <w:sz w:val="18"/>
                <w:szCs w:val="18"/>
              </w:rPr>
              <w:t xml:space="preserve">Reserva estatutária            </w:t>
            </w:r>
          </w:p>
        </w:tc>
        <w:tc>
          <w:tcPr>
            <w:tcW w:w="486" w:type="dxa"/>
            <w:gridSpan w:val="2"/>
            <w:tcBorders>
              <w:top w:val="nil"/>
              <w:left w:val="nil"/>
              <w:bottom w:val="nil"/>
              <w:right w:val="nil"/>
            </w:tcBorders>
          </w:tcPr>
          <w:p>
            <w:pPr>
              <w:jc w:val="center"/>
              <w:rPr>
                <w:rFonts w:cs="Arial"/>
                <w:bCs/>
                <w:color w:val="000000"/>
                <w:sz w:val="18"/>
                <w:szCs w:val="18"/>
              </w:rPr>
            </w:pPr>
            <w:hyperlink w:anchor="_23.3._Reserva_Estatutária" w:history="1">
              <w:r>
                <w:rPr>
                  <w:rStyle w:val="Hyperlink"/>
                  <w:rFonts w:cs="Arial"/>
                  <w:bCs/>
                  <w:sz w:val="18"/>
                  <w:szCs w:val="18"/>
                </w:rPr>
                <w:t>23.3</w:t>
              </w:r>
            </w:hyperlink>
          </w:p>
        </w:tc>
        <w:tc>
          <w:tcPr>
            <w:tcW w:w="105" w:type="dxa"/>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9.693</w:t>
            </w:r>
          </w:p>
        </w:tc>
        <w:tc>
          <w:tcPr>
            <w:tcW w:w="171" w:type="dxa"/>
            <w:tcBorders>
              <w:top w:val="nil"/>
              <w:left w:val="nil"/>
              <w:bottom w:val="nil"/>
              <w:right w:val="nil"/>
            </w:tcBorders>
          </w:tcPr>
          <w:p>
            <w:pPr>
              <w:jc w:val="right"/>
              <w:rPr>
                <w:rFonts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9.693</w:t>
            </w: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p>
        </w:tc>
        <w:tc>
          <w:tcPr>
            <w:tcW w:w="447" w:type="dxa"/>
            <w:tcBorders>
              <w:top w:val="nil"/>
              <w:left w:val="nil"/>
              <w:bottom w:val="nil"/>
              <w:right w:val="nil"/>
            </w:tcBorders>
          </w:tcPr>
          <w:p>
            <w:pPr>
              <w:jc w:val="right"/>
              <w:rPr>
                <w:rFonts w:cs="Arial"/>
                <w:bCs/>
                <w:color w:val="000000"/>
                <w:sz w:val="18"/>
                <w:szCs w:val="18"/>
              </w:rPr>
            </w:pPr>
          </w:p>
        </w:tc>
        <w:tc>
          <w:tcPr>
            <w:tcW w:w="125" w:type="dxa"/>
            <w:tcBorders>
              <w:top w:val="nil"/>
              <w:left w:val="nil"/>
              <w:bottom w:val="nil"/>
              <w:right w:val="nil"/>
            </w:tcBorders>
          </w:tcPr>
          <w:p>
            <w:pPr>
              <w:jc w:val="right"/>
              <w:rPr>
                <w:rFonts w:cs="Arial"/>
                <w:bCs/>
                <w:color w:val="000000"/>
                <w:sz w:val="18"/>
                <w:szCs w:val="18"/>
              </w:rPr>
            </w:pPr>
          </w:p>
        </w:tc>
        <w:tc>
          <w:tcPr>
            <w:tcW w:w="1013" w:type="dxa"/>
            <w:gridSpan w:val="2"/>
            <w:tcBorders>
              <w:top w:val="nil"/>
              <w:left w:val="nil"/>
              <w:bottom w:val="nil"/>
              <w:right w:val="nil"/>
            </w:tcBorders>
            <w:vAlign w:val="center"/>
          </w:tcPr>
          <w:p>
            <w:pPr>
              <w:jc w:val="right"/>
              <w:rPr>
                <w:rFonts w:cs="Arial"/>
                <w:bCs/>
                <w:color w:val="000000"/>
                <w:sz w:val="18"/>
                <w:szCs w:val="18"/>
              </w:rPr>
            </w:pPr>
          </w:p>
        </w:tc>
        <w:tc>
          <w:tcPr>
            <w:tcW w:w="115" w:type="dxa"/>
            <w:tcBorders>
              <w:top w:val="nil"/>
              <w:left w:val="nil"/>
              <w:bottom w:val="nil"/>
              <w:right w:val="nil"/>
            </w:tcBorders>
          </w:tcPr>
          <w:p>
            <w:pPr>
              <w:jc w:val="right"/>
              <w:rPr>
                <w:rFonts w:cs="Arial"/>
                <w:bCs/>
                <w:color w:val="000000"/>
                <w:sz w:val="18"/>
                <w:szCs w:val="18"/>
              </w:rPr>
            </w:pPr>
          </w:p>
        </w:tc>
        <w:tc>
          <w:tcPr>
            <w:tcW w:w="1011" w:type="dxa"/>
            <w:gridSpan w:val="2"/>
            <w:tcBorders>
              <w:top w:val="nil"/>
              <w:left w:val="nil"/>
              <w:bottom w:val="nil"/>
              <w:right w:val="nil"/>
            </w:tcBorders>
            <w:vAlign w:val="center"/>
          </w:tcPr>
          <w:p>
            <w:pPr>
              <w:jc w:val="right"/>
              <w:rPr>
                <w:rFonts w:cs="Arial"/>
                <w:bCs/>
                <w:color w:val="000000"/>
                <w:sz w:val="18"/>
                <w:szCs w:val="18"/>
              </w:rPr>
            </w:pP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62" w:type="dxa"/>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 xml:space="preserve">Reserva de reavaliação            </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hyperlink w:anchor="_23.5._Reserva_de" w:history="1">
              <w:r>
                <w:rPr>
                  <w:rStyle w:val="Hyperlink"/>
                  <w:rFonts w:cs="Arial"/>
                  <w:bCs/>
                  <w:sz w:val="18"/>
                  <w:szCs w:val="18"/>
                </w:rPr>
                <w:t>23.5</w:t>
              </w:r>
            </w:hyperlink>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16.102</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16.244</w:t>
            </w: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p>
        </w:tc>
        <w:tc>
          <w:tcPr>
            <w:tcW w:w="447" w:type="dxa"/>
            <w:tcBorders>
              <w:top w:val="nil"/>
              <w:left w:val="nil"/>
              <w:bottom w:val="nil"/>
              <w:right w:val="nil"/>
            </w:tcBorders>
          </w:tcPr>
          <w:p>
            <w:pPr>
              <w:jc w:val="right"/>
              <w:rPr>
                <w:rFonts w:cs="Arial"/>
                <w:bCs/>
                <w:color w:val="000000"/>
                <w:sz w:val="18"/>
                <w:szCs w:val="18"/>
              </w:rPr>
            </w:pPr>
          </w:p>
        </w:tc>
        <w:tc>
          <w:tcPr>
            <w:tcW w:w="125" w:type="dxa"/>
            <w:tcBorders>
              <w:top w:val="nil"/>
              <w:left w:val="nil"/>
              <w:bottom w:val="nil"/>
              <w:right w:val="nil"/>
            </w:tcBorders>
          </w:tcPr>
          <w:p>
            <w:pPr>
              <w:jc w:val="right"/>
              <w:rPr>
                <w:rFonts w:cs="Arial"/>
                <w:bCs/>
                <w:color w:val="000000"/>
                <w:sz w:val="18"/>
                <w:szCs w:val="18"/>
              </w:rPr>
            </w:pPr>
          </w:p>
        </w:tc>
        <w:tc>
          <w:tcPr>
            <w:tcW w:w="1013" w:type="dxa"/>
            <w:gridSpan w:val="2"/>
            <w:tcBorders>
              <w:top w:val="nil"/>
              <w:left w:val="nil"/>
              <w:bottom w:val="nil"/>
              <w:right w:val="nil"/>
            </w:tcBorders>
            <w:vAlign w:val="center"/>
          </w:tcPr>
          <w:p>
            <w:pPr>
              <w:jc w:val="right"/>
              <w:rPr>
                <w:rFonts w:cs="Arial"/>
                <w:bCs/>
                <w:color w:val="000000"/>
                <w:sz w:val="18"/>
                <w:szCs w:val="18"/>
              </w:rPr>
            </w:pPr>
          </w:p>
        </w:tc>
        <w:tc>
          <w:tcPr>
            <w:tcW w:w="115" w:type="dxa"/>
            <w:tcBorders>
              <w:top w:val="nil"/>
              <w:left w:val="nil"/>
              <w:bottom w:val="nil"/>
              <w:right w:val="nil"/>
            </w:tcBorders>
          </w:tcPr>
          <w:p>
            <w:pPr>
              <w:jc w:val="right"/>
              <w:rPr>
                <w:rFonts w:cs="Arial"/>
                <w:bCs/>
                <w:color w:val="000000"/>
                <w:sz w:val="18"/>
                <w:szCs w:val="18"/>
              </w:rPr>
            </w:pPr>
          </w:p>
        </w:tc>
        <w:tc>
          <w:tcPr>
            <w:tcW w:w="1011" w:type="dxa"/>
            <w:gridSpan w:val="2"/>
            <w:tcBorders>
              <w:top w:val="nil"/>
              <w:left w:val="nil"/>
              <w:bottom w:val="nil"/>
              <w:right w:val="nil"/>
            </w:tcBorders>
            <w:vAlign w:val="center"/>
          </w:tcPr>
          <w:p>
            <w:pPr>
              <w:jc w:val="right"/>
              <w:rPr>
                <w:rFonts w:cs="Arial"/>
                <w:bCs/>
                <w:color w:val="000000"/>
                <w:sz w:val="18"/>
                <w:szCs w:val="18"/>
              </w:rPr>
            </w:pP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62" w:type="dxa"/>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Reserva especial</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hyperlink w:anchor="_23.6._Reserva_Especial" w:history="1">
              <w:r>
                <w:rPr>
                  <w:rStyle w:val="Hyperlink"/>
                  <w:rFonts w:cs="Arial"/>
                  <w:bCs/>
                  <w:sz w:val="18"/>
                  <w:szCs w:val="18"/>
                </w:rPr>
                <w:t>23.6</w:t>
              </w:r>
            </w:hyperlink>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3.051</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3.020</w:t>
            </w: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p>
        </w:tc>
        <w:tc>
          <w:tcPr>
            <w:tcW w:w="447" w:type="dxa"/>
            <w:tcBorders>
              <w:top w:val="nil"/>
              <w:left w:val="nil"/>
              <w:bottom w:val="nil"/>
              <w:right w:val="nil"/>
            </w:tcBorders>
          </w:tcPr>
          <w:p>
            <w:pPr>
              <w:jc w:val="right"/>
              <w:rPr>
                <w:rFonts w:cs="Arial"/>
                <w:bCs/>
                <w:color w:val="000000"/>
                <w:sz w:val="18"/>
                <w:szCs w:val="18"/>
              </w:rPr>
            </w:pPr>
          </w:p>
        </w:tc>
        <w:tc>
          <w:tcPr>
            <w:tcW w:w="125" w:type="dxa"/>
            <w:tcBorders>
              <w:top w:val="nil"/>
              <w:left w:val="nil"/>
              <w:bottom w:val="nil"/>
              <w:right w:val="nil"/>
            </w:tcBorders>
          </w:tcPr>
          <w:p>
            <w:pPr>
              <w:jc w:val="right"/>
              <w:rPr>
                <w:rFonts w:cs="Arial"/>
                <w:bCs/>
                <w:color w:val="000000"/>
                <w:sz w:val="18"/>
                <w:szCs w:val="18"/>
              </w:rPr>
            </w:pPr>
          </w:p>
        </w:tc>
        <w:tc>
          <w:tcPr>
            <w:tcW w:w="1013" w:type="dxa"/>
            <w:gridSpan w:val="2"/>
            <w:tcBorders>
              <w:top w:val="nil"/>
              <w:left w:val="nil"/>
              <w:bottom w:val="nil"/>
              <w:right w:val="nil"/>
            </w:tcBorders>
            <w:vAlign w:val="center"/>
          </w:tcPr>
          <w:p>
            <w:pPr>
              <w:jc w:val="right"/>
              <w:rPr>
                <w:rFonts w:cs="Arial"/>
                <w:bCs/>
                <w:color w:val="000000"/>
                <w:sz w:val="18"/>
                <w:szCs w:val="18"/>
              </w:rPr>
            </w:pPr>
          </w:p>
        </w:tc>
        <w:tc>
          <w:tcPr>
            <w:tcW w:w="115" w:type="dxa"/>
            <w:tcBorders>
              <w:top w:val="nil"/>
              <w:left w:val="nil"/>
              <w:bottom w:val="nil"/>
              <w:right w:val="nil"/>
            </w:tcBorders>
          </w:tcPr>
          <w:p>
            <w:pPr>
              <w:jc w:val="right"/>
              <w:rPr>
                <w:rFonts w:cs="Arial"/>
                <w:bCs/>
                <w:color w:val="000000"/>
                <w:sz w:val="18"/>
                <w:szCs w:val="18"/>
              </w:rPr>
            </w:pPr>
          </w:p>
        </w:tc>
        <w:tc>
          <w:tcPr>
            <w:tcW w:w="1011" w:type="dxa"/>
            <w:gridSpan w:val="2"/>
            <w:tcBorders>
              <w:top w:val="nil"/>
              <w:left w:val="nil"/>
              <w:bottom w:val="nil"/>
              <w:right w:val="nil"/>
            </w:tcBorders>
            <w:vAlign w:val="center"/>
          </w:tcPr>
          <w:p>
            <w:pPr>
              <w:jc w:val="right"/>
              <w:rPr>
                <w:rFonts w:cs="Arial"/>
                <w:bCs/>
                <w:color w:val="000000"/>
                <w:sz w:val="18"/>
                <w:szCs w:val="18"/>
              </w:rPr>
            </w:pP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62" w:type="dxa"/>
            <w:tcBorders>
              <w:top w:val="nil"/>
              <w:left w:val="nil"/>
              <w:bottom w:val="nil"/>
              <w:right w:val="nil"/>
            </w:tcBorders>
            <w:vAlign w:val="center"/>
          </w:tcPr>
          <w:p>
            <w:pPr>
              <w:tabs>
                <w:tab w:val="right" w:pos="2059"/>
              </w:tabs>
              <w:rPr>
                <w:rFonts w:cs="Arial"/>
                <w:bCs/>
                <w:color w:val="000000"/>
                <w:sz w:val="18"/>
                <w:szCs w:val="18"/>
              </w:rPr>
            </w:pPr>
            <w:r>
              <w:rPr>
                <w:rFonts w:cs="Arial"/>
                <w:bCs/>
                <w:color w:val="000000"/>
                <w:sz w:val="18"/>
                <w:szCs w:val="18"/>
              </w:rPr>
              <w:t>Prejuízos acumulados</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pPr>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nil"/>
              <w:left w:val="nil"/>
              <w:bottom w:val="nil"/>
              <w:right w:val="nil"/>
            </w:tcBorders>
            <w:vAlign w:val="center"/>
          </w:tcPr>
          <w:p>
            <w:pPr>
              <w:jc w:val="right"/>
              <w:rPr>
                <w:rFonts w:cs="Arial"/>
                <w:bCs/>
                <w:color w:val="000000"/>
                <w:sz w:val="18"/>
                <w:szCs w:val="18"/>
              </w:rPr>
            </w:pPr>
            <w:r>
              <w:rPr>
                <w:rFonts w:cs="Arial"/>
                <w:bCs/>
                <w:color w:val="000000"/>
                <w:sz w:val="18"/>
                <w:szCs w:val="18"/>
              </w:rPr>
              <w:t>(5.775)</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nil"/>
              <w:left w:val="nil"/>
              <w:bottom w:val="nil"/>
              <w:right w:val="single" w:sz="4" w:space="0" w:color="auto"/>
            </w:tcBorders>
            <w:vAlign w:val="center"/>
          </w:tcPr>
          <w:p>
            <w:pPr>
              <w:jc w:val="right"/>
              <w:rPr>
                <w:rFonts w:cs="Arial"/>
                <w:bCs/>
                <w:color w:val="000000"/>
                <w:sz w:val="18"/>
                <w:szCs w:val="18"/>
              </w:rPr>
            </w:pPr>
            <w:r>
              <w:rPr>
                <w:rFonts w:cs="Arial"/>
                <w:bCs/>
                <w:color w:val="000000"/>
                <w:sz w:val="18"/>
                <w:szCs w:val="18"/>
              </w:rPr>
              <w:t>-</w:t>
            </w:r>
          </w:p>
        </w:tc>
      </w:tr>
      <w:tr>
        <w:trPr>
          <w:trHeight w:val="20"/>
          <w:jc w:val="center"/>
        </w:trPr>
        <w:tc>
          <w:tcPr>
            <w:tcW w:w="4505" w:type="dxa"/>
            <w:tcBorders>
              <w:top w:val="nil"/>
              <w:left w:val="single" w:sz="4" w:space="0" w:color="auto"/>
              <w:bottom w:val="nil"/>
              <w:right w:val="nil"/>
            </w:tcBorders>
            <w:vAlign w:val="center"/>
          </w:tcPr>
          <w:p>
            <w:pPr>
              <w:rPr>
                <w:rFonts w:cs="Arial"/>
                <w:bCs/>
                <w:color w:val="000000"/>
                <w:sz w:val="18"/>
                <w:szCs w:val="18"/>
              </w:rPr>
            </w:pPr>
          </w:p>
        </w:tc>
        <w:tc>
          <w:tcPr>
            <w:tcW w:w="447" w:type="dxa"/>
            <w:tcBorders>
              <w:top w:val="nil"/>
              <w:left w:val="nil"/>
              <w:bottom w:val="nil"/>
              <w:right w:val="nil"/>
            </w:tcBorders>
          </w:tcPr>
          <w:p>
            <w:pPr>
              <w:jc w:val="right"/>
              <w:rPr>
                <w:rFonts w:cs="Arial"/>
                <w:bCs/>
                <w:color w:val="000000"/>
                <w:sz w:val="18"/>
                <w:szCs w:val="18"/>
              </w:rPr>
            </w:pPr>
          </w:p>
        </w:tc>
        <w:tc>
          <w:tcPr>
            <w:tcW w:w="125" w:type="dxa"/>
            <w:tcBorders>
              <w:top w:val="nil"/>
              <w:left w:val="nil"/>
              <w:bottom w:val="nil"/>
              <w:right w:val="nil"/>
            </w:tcBorders>
          </w:tcPr>
          <w:p>
            <w:pPr>
              <w:jc w:val="right"/>
              <w:rPr>
                <w:rFonts w:cs="Arial"/>
                <w:bCs/>
                <w:color w:val="000000"/>
                <w:sz w:val="18"/>
                <w:szCs w:val="18"/>
              </w:rPr>
            </w:pPr>
          </w:p>
        </w:tc>
        <w:tc>
          <w:tcPr>
            <w:tcW w:w="1013" w:type="dxa"/>
            <w:gridSpan w:val="2"/>
            <w:tcBorders>
              <w:top w:val="nil"/>
              <w:left w:val="nil"/>
              <w:bottom w:val="double" w:sz="4" w:space="0" w:color="auto"/>
              <w:right w:val="nil"/>
            </w:tcBorders>
            <w:vAlign w:val="center"/>
          </w:tcPr>
          <w:p>
            <w:pPr>
              <w:jc w:val="right"/>
              <w:rPr>
                <w:rFonts w:cs="Arial"/>
                <w:bCs/>
                <w:color w:val="000000"/>
                <w:sz w:val="18"/>
                <w:szCs w:val="18"/>
              </w:rPr>
            </w:pPr>
          </w:p>
        </w:tc>
        <w:tc>
          <w:tcPr>
            <w:tcW w:w="115" w:type="dxa"/>
            <w:tcBorders>
              <w:top w:val="nil"/>
              <w:left w:val="nil"/>
              <w:bottom w:val="nil"/>
              <w:right w:val="nil"/>
            </w:tcBorders>
          </w:tcPr>
          <w:p>
            <w:pPr>
              <w:jc w:val="right"/>
              <w:rPr>
                <w:rFonts w:cs="Arial"/>
                <w:bCs/>
                <w:color w:val="000000"/>
                <w:sz w:val="18"/>
                <w:szCs w:val="18"/>
              </w:rPr>
            </w:pPr>
          </w:p>
        </w:tc>
        <w:tc>
          <w:tcPr>
            <w:tcW w:w="1011" w:type="dxa"/>
            <w:gridSpan w:val="2"/>
            <w:tcBorders>
              <w:top w:val="nil"/>
              <w:left w:val="nil"/>
              <w:bottom w:val="double" w:sz="4" w:space="0" w:color="auto"/>
              <w:right w:val="nil"/>
            </w:tcBorders>
            <w:vAlign w:val="center"/>
          </w:tcPr>
          <w:p>
            <w:pPr>
              <w:jc w:val="right"/>
              <w:rPr>
                <w:rFonts w:cs="Arial"/>
                <w:bCs/>
                <w:color w:val="000000"/>
                <w:sz w:val="18"/>
                <w:szCs w:val="18"/>
              </w:rPr>
            </w:pPr>
          </w:p>
        </w:tc>
        <w:tc>
          <w:tcPr>
            <w:tcW w:w="182" w:type="dxa"/>
            <w:gridSpan w:val="2"/>
            <w:tcBorders>
              <w:top w:val="nil"/>
              <w:left w:val="nil"/>
              <w:bottom w:val="nil"/>
              <w:right w:val="nil"/>
            </w:tcBorders>
          </w:tcPr>
          <w:p>
            <w:pPr>
              <w:tabs>
                <w:tab w:val="right" w:pos="2059"/>
              </w:tabs>
              <w:rPr>
                <w:rFonts w:cs="Arial"/>
                <w:bCs/>
                <w:color w:val="000000"/>
                <w:sz w:val="18"/>
                <w:szCs w:val="18"/>
              </w:rPr>
            </w:pPr>
          </w:p>
        </w:tc>
        <w:tc>
          <w:tcPr>
            <w:tcW w:w="2662" w:type="dxa"/>
            <w:tcBorders>
              <w:top w:val="nil"/>
              <w:left w:val="nil"/>
              <w:bottom w:val="nil"/>
              <w:right w:val="nil"/>
            </w:tcBorders>
            <w:vAlign w:val="center"/>
          </w:tcPr>
          <w:p>
            <w:pPr>
              <w:rPr>
                <w:rFonts w:cs="Arial"/>
                <w:b/>
                <w:bCs/>
                <w:color w:val="000000"/>
                <w:sz w:val="18"/>
                <w:szCs w:val="18"/>
              </w:rPr>
            </w:pPr>
            <w:r>
              <w:rPr>
                <w:rFonts w:cs="Arial"/>
                <w:b/>
                <w:bCs/>
                <w:color w:val="000000"/>
                <w:sz w:val="18"/>
                <w:szCs w:val="18"/>
              </w:rPr>
              <w:t>Total do patrimônio líquido</w:t>
            </w:r>
          </w:p>
        </w:tc>
        <w:tc>
          <w:tcPr>
            <w:tcW w:w="377" w:type="dxa"/>
            <w:tcBorders>
              <w:top w:val="nil"/>
              <w:left w:val="nil"/>
              <w:bottom w:val="nil"/>
              <w:right w:val="nil"/>
            </w:tcBorders>
            <w:vAlign w:val="center"/>
          </w:tcPr>
          <w:p>
            <w:pPr>
              <w:tabs>
                <w:tab w:val="right" w:pos="2059"/>
              </w:tabs>
              <w:jc w:val="right"/>
              <w:rPr>
                <w:rFonts w:cs="Arial"/>
                <w:bCs/>
                <w:color w:val="000000"/>
                <w:sz w:val="18"/>
                <w:szCs w:val="18"/>
              </w:rPr>
            </w:pPr>
          </w:p>
        </w:tc>
        <w:tc>
          <w:tcPr>
            <w:tcW w:w="486" w:type="dxa"/>
            <w:gridSpan w:val="2"/>
            <w:tcBorders>
              <w:top w:val="nil"/>
              <w:left w:val="nil"/>
              <w:bottom w:val="nil"/>
              <w:right w:val="nil"/>
            </w:tcBorders>
          </w:tcPr>
          <w:p>
            <w:pPr>
              <w:jc w:val="center"/>
              <w:rPr>
                <w:rFonts w:cs="Arial"/>
                <w:bCs/>
                <w:color w:val="000000"/>
                <w:sz w:val="18"/>
                <w:szCs w:val="18"/>
              </w:rPr>
            </w:pPr>
          </w:p>
        </w:tc>
        <w:tc>
          <w:tcPr>
            <w:tcW w:w="127" w:type="dxa"/>
            <w:gridSpan w:val="2"/>
            <w:tcBorders>
              <w:top w:val="nil"/>
              <w:left w:val="nil"/>
              <w:bottom w:val="nil"/>
              <w:right w:val="nil"/>
            </w:tcBorders>
          </w:tcPr>
          <w:p>
            <w:pPr>
              <w:jc w:val="right"/>
              <w:rPr>
                <w:rFonts w:cs="Arial"/>
                <w:bCs/>
                <w:color w:val="000000"/>
                <w:sz w:val="18"/>
                <w:szCs w:val="18"/>
              </w:rPr>
            </w:pPr>
          </w:p>
        </w:tc>
        <w:tc>
          <w:tcPr>
            <w:tcW w:w="1470" w:type="dxa"/>
            <w:tcBorders>
              <w:top w:val="single" w:sz="4" w:space="0" w:color="auto"/>
              <w:left w:val="nil"/>
              <w:bottom w:val="double" w:sz="4" w:space="0" w:color="auto"/>
              <w:right w:val="nil"/>
            </w:tcBorders>
            <w:vAlign w:val="bottom"/>
          </w:tcPr>
          <w:p>
            <w:pPr>
              <w:jc w:val="right"/>
              <w:rPr>
                <w:rFonts w:cs="Arial"/>
                <w:b/>
                <w:bCs/>
                <w:color w:val="000000"/>
                <w:sz w:val="18"/>
                <w:szCs w:val="18"/>
              </w:rPr>
            </w:pPr>
            <w:r>
              <w:rPr>
                <w:rFonts w:cs="Arial"/>
                <w:b/>
                <w:bCs/>
                <w:color w:val="000000"/>
                <w:sz w:val="18"/>
                <w:szCs w:val="18"/>
              </w:rPr>
              <w:t xml:space="preserve">             163.625</w:t>
            </w:r>
          </w:p>
        </w:tc>
        <w:tc>
          <w:tcPr>
            <w:tcW w:w="193" w:type="dxa"/>
            <w:gridSpan w:val="2"/>
            <w:tcBorders>
              <w:top w:val="nil"/>
              <w:left w:val="nil"/>
              <w:bottom w:val="nil"/>
              <w:right w:val="nil"/>
            </w:tcBorders>
          </w:tcPr>
          <w:p>
            <w:pPr>
              <w:jc w:val="right"/>
              <w:rPr>
                <w:rFonts w:cs="Arial"/>
                <w:bCs/>
                <w:color w:val="000000"/>
                <w:sz w:val="18"/>
                <w:szCs w:val="18"/>
              </w:rPr>
            </w:pPr>
          </w:p>
        </w:tc>
        <w:tc>
          <w:tcPr>
            <w:tcW w:w="1609" w:type="dxa"/>
            <w:tcBorders>
              <w:top w:val="single" w:sz="4" w:space="0" w:color="auto"/>
              <w:left w:val="nil"/>
              <w:bottom w:val="double" w:sz="4" w:space="0" w:color="auto"/>
              <w:right w:val="single" w:sz="4" w:space="0" w:color="auto"/>
            </w:tcBorders>
            <w:vAlign w:val="bottom"/>
          </w:tcPr>
          <w:p>
            <w:pPr>
              <w:jc w:val="right"/>
              <w:rPr>
                <w:rFonts w:cs="Arial"/>
                <w:b/>
                <w:bCs/>
                <w:color w:val="000000"/>
                <w:sz w:val="18"/>
                <w:szCs w:val="18"/>
              </w:rPr>
            </w:pPr>
            <w:r>
              <w:rPr>
                <w:rFonts w:cs="Arial"/>
                <w:b/>
                <w:bCs/>
                <w:color w:val="000000"/>
                <w:sz w:val="18"/>
                <w:szCs w:val="18"/>
              </w:rPr>
              <w:t xml:space="preserve">             169.511</w:t>
            </w: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r>
              <w:rPr>
                <w:rFonts w:cs="Arial"/>
                <w:b/>
                <w:bCs/>
                <w:color w:val="000000"/>
                <w:sz w:val="18"/>
                <w:szCs w:val="18"/>
              </w:rPr>
              <w:t>TOTAL DO ATIVO</w:t>
            </w:r>
          </w:p>
        </w:tc>
        <w:tc>
          <w:tcPr>
            <w:tcW w:w="447" w:type="dxa"/>
            <w:tcBorders>
              <w:top w:val="nil"/>
              <w:left w:val="nil"/>
              <w:right w:val="nil"/>
            </w:tcBorders>
          </w:tcPr>
          <w:p>
            <w:pPr>
              <w:jc w:val="right"/>
              <w:rPr>
                <w:rFonts w:cs="Arial"/>
                <w:bCs/>
                <w:color w:val="000000"/>
                <w:sz w:val="18"/>
                <w:szCs w:val="18"/>
              </w:rPr>
            </w:pPr>
          </w:p>
        </w:tc>
        <w:tc>
          <w:tcPr>
            <w:tcW w:w="125" w:type="dxa"/>
            <w:tcBorders>
              <w:top w:val="nil"/>
              <w:left w:val="nil"/>
              <w:right w:val="nil"/>
            </w:tcBorders>
          </w:tcPr>
          <w:p>
            <w:pPr>
              <w:jc w:val="right"/>
              <w:rPr>
                <w:rFonts w:cs="Arial"/>
                <w:bCs/>
                <w:color w:val="000000"/>
                <w:sz w:val="18"/>
                <w:szCs w:val="18"/>
              </w:rPr>
            </w:pPr>
          </w:p>
        </w:tc>
        <w:tc>
          <w:tcPr>
            <w:tcW w:w="1013" w:type="dxa"/>
            <w:gridSpan w:val="2"/>
            <w:tcBorders>
              <w:top w:val="double" w:sz="4" w:space="0" w:color="auto"/>
              <w:left w:val="nil"/>
              <w:bottom w:val="double" w:sz="4" w:space="0" w:color="auto"/>
              <w:right w:val="nil"/>
            </w:tcBorders>
            <w:vAlign w:val="center"/>
          </w:tcPr>
          <w:p>
            <w:pPr>
              <w:jc w:val="right"/>
              <w:rPr>
                <w:rFonts w:cs="Arial"/>
                <w:b/>
                <w:bCs/>
                <w:color w:val="000000"/>
                <w:sz w:val="18"/>
                <w:szCs w:val="18"/>
              </w:rPr>
            </w:pPr>
            <w:r>
              <w:rPr>
                <w:rFonts w:cs="Arial"/>
                <w:b/>
                <w:bCs/>
                <w:color w:val="000000"/>
                <w:sz w:val="18"/>
                <w:szCs w:val="18"/>
              </w:rPr>
              <w:t>312.372</w:t>
            </w:r>
          </w:p>
        </w:tc>
        <w:tc>
          <w:tcPr>
            <w:tcW w:w="115" w:type="dxa"/>
            <w:tcBorders>
              <w:top w:val="nil"/>
              <w:left w:val="nil"/>
              <w:right w:val="nil"/>
            </w:tcBorders>
          </w:tcPr>
          <w:p>
            <w:pPr>
              <w:jc w:val="right"/>
              <w:rPr>
                <w:rFonts w:cs="Arial"/>
                <w:b/>
                <w:bCs/>
                <w:color w:val="000000"/>
                <w:sz w:val="18"/>
                <w:szCs w:val="18"/>
              </w:rPr>
            </w:pPr>
          </w:p>
        </w:tc>
        <w:tc>
          <w:tcPr>
            <w:tcW w:w="1011" w:type="dxa"/>
            <w:gridSpan w:val="2"/>
            <w:tcBorders>
              <w:top w:val="double" w:sz="4" w:space="0" w:color="auto"/>
              <w:left w:val="nil"/>
              <w:bottom w:val="double" w:sz="4" w:space="0" w:color="auto"/>
              <w:right w:val="nil"/>
            </w:tcBorders>
            <w:vAlign w:val="center"/>
          </w:tcPr>
          <w:p>
            <w:pPr>
              <w:jc w:val="right"/>
              <w:rPr>
                <w:rFonts w:cs="Arial"/>
                <w:b/>
                <w:bCs/>
                <w:color w:val="000000"/>
                <w:sz w:val="18"/>
                <w:szCs w:val="18"/>
              </w:rPr>
            </w:pPr>
            <w:r>
              <w:rPr>
                <w:rFonts w:cs="Arial"/>
                <w:b/>
                <w:bCs/>
                <w:color w:val="000000"/>
                <w:sz w:val="18"/>
                <w:szCs w:val="18"/>
              </w:rPr>
              <w:t>285.204</w:t>
            </w:r>
          </w:p>
        </w:tc>
        <w:tc>
          <w:tcPr>
            <w:tcW w:w="182" w:type="dxa"/>
            <w:gridSpan w:val="2"/>
            <w:tcBorders>
              <w:top w:val="nil"/>
              <w:left w:val="nil"/>
              <w:bottom w:val="nil"/>
              <w:right w:val="nil"/>
            </w:tcBorders>
          </w:tcPr>
          <w:p>
            <w:pPr>
              <w:rPr>
                <w:rFonts w:cs="Arial"/>
                <w:bCs/>
                <w:color w:val="000000"/>
                <w:sz w:val="18"/>
                <w:szCs w:val="18"/>
              </w:rPr>
            </w:pPr>
          </w:p>
        </w:tc>
        <w:tc>
          <w:tcPr>
            <w:tcW w:w="3061" w:type="dxa"/>
            <w:gridSpan w:val="3"/>
            <w:tcBorders>
              <w:top w:val="nil"/>
              <w:left w:val="nil"/>
              <w:bottom w:val="nil"/>
              <w:right w:val="nil"/>
            </w:tcBorders>
            <w:vAlign w:val="center"/>
          </w:tcPr>
          <w:p>
            <w:pPr>
              <w:rPr>
                <w:rFonts w:cs="Arial"/>
                <w:b/>
                <w:bCs/>
                <w:color w:val="000000"/>
                <w:sz w:val="18"/>
                <w:szCs w:val="18"/>
              </w:rPr>
            </w:pPr>
            <w:r>
              <w:rPr>
                <w:rFonts w:cs="Arial"/>
                <w:b/>
                <w:bCs/>
                <w:color w:val="000000"/>
                <w:sz w:val="18"/>
                <w:szCs w:val="18"/>
              </w:rPr>
              <w:t>TOTAL DO PASSIVO + PL</w:t>
            </w:r>
          </w:p>
        </w:tc>
        <w:tc>
          <w:tcPr>
            <w:tcW w:w="486" w:type="dxa"/>
            <w:gridSpan w:val="2"/>
            <w:tcBorders>
              <w:left w:val="nil"/>
              <w:right w:val="nil"/>
            </w:tcBorders>
          </w:tcPr>
          <w:p>
            <w:pPr>
              <w:jc w:val="center"/>
              <w:rPr>
                <w:rFonts w:cs="Arial"/>
                <w:b/>
                <w:bCs/>
                <w:color w:val="000000"/>
                <w:sz w:val="18"/>
                <w:szCs w:val="18"/>
              </w:rPr>
            </w:pPr>
          </w:p>
        </w:tc>
        <w:tc>
          <w:tcPr>
            <w:tcW w:w="105" w:type="dxa"/>
            <w:tcBorders>
              <w:left w:val="nil"/>
              <w:right w:val="nil"/>
            </w:tcBorders>
          </w:tcPr>
          <w:p>
            <w:pPr>
              <w:jc w:val="right"/>
              <w:rPr>
                <w:rFonts w:cs="Arial"/>
                <w:b/>
                <w:bCs/>
                <w:color w:val="000000"/>
                <w:sz w:val="18"/>
                <w:szCs w:val="18"/>
              </w:rPr>
            </w:pPr>
          </w:p>
        </w:tc>
        <w:tc>
          <w:tcPr>
            <w:tcW w:w="1470" w:type="dxa"/>
            <w:tcBorders>
              <w:top w:val="double" w:sz="4" w:space="0" w:color="auto"/>
              <w:left w:val="nil"/>
              <w:bottom w:val="double" w:sz="4" w:space="0" w:color="auto"/>
              <w:right w:val="nil"/>
            </w:tcBorders>
            <w:vAlign w:val="center"/>
          </w:tcPr>
          <w:p>
            <w:pPr>
              <w:ind w:left="709" w:hanging="709"/>
              <w:jc w:val="right"/>
              <w:rPr>
                <w:rFonts w:cs="Arial"/>
                <w:b/>
                <w:bCs/>
                <w:color w:val="000000"/>
                <w:sz w:val="18"/>
                <w:szCs w:val="18"/>
              </w:rPr>
            </w:pPr>
            <w:r>
              <w:rPr>
                <w:rFonts w:cs="Arial"/>
                <w:b/>
                <w:bCs/>
                <w:color w:val="000000"/>
                <w:sz w:val="18"/>
                <w:szCs w:val="18"/>
              </w:rPr>
              <w:t>312.372</w:t>
            </w:r>
          </w:p>
        </w:tc>
        <w:tc>
          <w:tcPr>
            <w:tcW w:w="171" w:type="dxa"/>
            <w:tcBorders>
              <w:left w:val="nil"/>
              <w:right w:val="nil"/>
            </w:tcBorders>
          </w:tcPr>
          <w:p>
            <w:pPr>
              <w:jc w:val="right"/>
              <w:rPr>
                <w:rFonts w:cs="Arial"/>
                <w:b/>
                <w:bCs/>
                <w:color w:val="000000"/>
                <w:sz w:val="18"/>
                <w:szCs w:val="18"/>
              </w:rPr>
            </w:pPr>
          </w:p>
        </w:tc>
        <w:tc>
          <w:tcPr>
            <w:tcW w:w="1631" w:type="dxa"/>
            <w:gridSpan w:val="2"/>
            <w:tcBorders>
              <w:top w:val="double" w:sz="4" w:space="0" w:color="auto"/>
              <w:left w:val="nil"/>
              <w:bottom w:val="double" w:sz="4" w:space="0" w:color="auto"/>
              <w:right w:val="single" w:sz="4" w:space="0" w:color="auto"/>
            </w:tcBorders>
            <w:vAlign w:val="center"/>
          </w:tcPr>
          <w:p>
            <w:pPr>
              <w:jc w:val="right"/>
              <w:rPr>
                <w:rFonts w:cs="Arial"/>
                <w:b/>
                <w:bCs/>
                <w:color w:val="000000"/>
                <w:sz w:val="18"/>
                <w:szCs w:val="18"/>
              </w:rPr>
            </w:pPr>
            <w:r>
              <w:rPr>
                <w:rFonts w:cs="Arial"/>
                <w:b/>
                <w:bCs/>
                <w:color w:val="000000"/>
                <w:sz w:val="18"/>
                <w:szCs w:val="18"/>
              </w:rPr>
              <w:t>285.204</w:t>
            </w:r>
          </w:p>
        </w:tc>
      </w:tr>
      <w:tr>
        <w:trPr>
          <w:trHeight w:val="20"/>
          <w:jc w:val="center"/>
        </w:trPr>
        <w:tc>
          <w:tcPr>
            <w:tcW w:w="4505" w:type="dxa"/>
            <w:tcBorders>
              <w:top w:val="nil"/>
              <w:left w:val="single" w:sz="4" w:space="0" w:color="auto"/>
              <w:bottom w:val="nil"/>
              <w:right w:val="nil"/>
            </w:tcBorders>
            <w:vAlign w:val="center"/>
          </w:tcPr>
          <w:p>
            <w:pPr>
              <w:rPr>
                <w:rFonts w:cs="Arial"/>
                <w:b/>
                <w:bCs/>
                <w:color w:val="000000"/>
                <w:sz w:val="18"/>
                <w:szCs w:val="18"/>
              </w:rPr>
            </w:pPr>
          </w:p>
        </w:tc>
        <w:tc>
          <w:tcPr>
            <w:tcW w:w="447" w:type="dxa"/>
            <w:tcBorders>
              <w:left w:val="nil"/>
              <w:right w:val="nil"/>
            </w:tcBorders>
          </w:tcPr>
          <w:p>
            <w:pPr>
              <w:jc w:val="right"/>
              <w:rPr>
                <w:rFonts w:cs="Arial"/>
                <w:b/>
                <w:bCs/>
                <w:color w:val="000000"/>
                <w:sz w:val="18"/>
                <w:szCs w:val="18"/>
              </w:rPr>
            </w:pPr>
          </w:p>
        </w:tc>
        <w:tc>
          <w:tcPr>
            <w:tcW w:w="125" w:type="dxa"/>
            <w:tcBorders>
              <w:left w:val="nil"/>
              <w:right w:val="nil"/>
            </w:tcBorders>
          </w:tcPr>
          <w:p>
            <w:pPr>
              <w:jc w:val="right"/>
              <w:rPr>
                <w:rFonts w:cs="Arial"/>
                <w:b/>
                <w:bCs/>
                <w:color w:val="000000"/>
                <w:sz w:val="18"/>
                <w:szCs w:val="18"/>
              </w:rPr>
            </w:pPr>
          </w:p>
        </w:tc>
        <w:tc>
          <w:tcPr>
            <w:tcW w:w="1013" w:type="dxa"/>
            <w:gridSpan w:val="2"/>
            <w:tcBorders>
              <w:top w:val="double" w:sz="4" w:space="0" w:color="auto"/>
              <w:left w:val="nil"/>
              <w:right w:val="nil"/>
            </w:tcBorders>
            <w:vAlign w:val="center"/>
          </w:tcPr>
          <w:p>
            <w:pPr>
              <w:jc w:val="right"/>
              <w:rPr>
                <w:rFonts w:cs="Arial"/>
                <w:b/>
                <w:bCs/>
                <w:color w:val="000000"/>
                <w:sz w:val="18"/>
                <w:szCs w:val="18"/>
              </w:rPr>
            </w:pPr>
          </w:p>
        </w:tc>
        <w:tc>
          <w:tcPr>
            <w:tcW w:w="115" w:type="dxa"/>
            <w:tcBorders>
              <w:left w:val="nil"/>
              <w:right w:val="nil"/>
            </w:tcBorders>
          </w:tcPr>
          <w:p>
            <w:pPr>
              <w:jc w:val="right"/>
              <w:rPr>
                <w:rFonts w:cs="Arial"/>
                <w:b/>
                <w:bCs/>
                <w:color w:val="000000"/>
                <w:sz w:val="18"/>
                <w:szCs w:val="18"/>
              </w:rPr>
            </w:pPr>
          </w:p>
        </w:tc>
        <w:tc>
          <w:tcPr>
            <w:tcW w:w="1011" w:type="dxa"/>
            <w:gridSpan w:val="2"/>
            <w:tcBorders>
              <w:top w:val="double" w:sz="4" w:space="0" w:color="auto"/>
              <w:left w:val="nil"/>
              <w:right w:val="nil"/>
            </w:tcBorders>
            <w:vAlign w:val="center"/>
          </w:tcPr>
          <w:p>
            <w:pPr>
              <w:jc w:val="right"/>
              <w:rPr>
                <w:rFonts w:cs="Arial"/>
                <w:b/>
                <w:bCs/>
                <w:color w:val="000000"/>
                <w:sz w:val="18"/>
                <w:szCs w:val="18"/>
              </w:rPr>
            </w:pPr>
          </w:p>
        </w:tc>
        <w:tc>
          <w:tcPr>
            <w:tcW w:w="182" w:type="dxa"/>
            <w:gridSpan w:val="2"/>
            <w:tcBorders>
              <w:top w:val="nil"/>
              <w:left w:val="nil"/>
              <w:bottom w:val="nil"/>
              <w:right w:val="nil"/>
            </w:tcBorders>
          </w:tcPr>
          <w:p>
            <w:pPr>
              <w:rPr>
                <w:rFonts w:cs="Arial"/>
                <w:b/>
                <w:bCs/>
                <w:color w:val="000000"/>
                <w:sz w:val="18"/>
                <w:szCs w:val="18"/>
              </w:rPr>
            </w:pPr>
          </w:p>
        </w:tc>
        <w:tc>
          <w:tcPr>
            <w:tcW w:w="3061" w:type="dxa"/>
            <w:gridSpan w:val="3"/>
            <w:tcBorders>
              <w:top w:val="nil"/>
              <w:left w:val="nil"/>
              <w:bottom w:val="nil"/>
              <w:right w:val="nil"/>
            </w:tcBorders>
            <w:vAlign w:val="center"/>
          </w:tcPr>
          <w:p>
            <w:pPr>
              <w:rPr>
                <w:rFonts w:cs="Arial"/>
                <w:b/>
                <w:bCs/>
                <w:color w:val="000000"/>
                <w:sz w:val="18"/>
                <w:szCs w:val="18"/>
              </w:rPr>
            </w:pPr>
          </w:p>
        </w:tc>
        <w:tc>
          <w:tcPr>
            <w:tcW w:w="486" w:type="dxa"/>
            <w:gridSpan w:val="2"/>
            <w:tcBorders>
              <w:left w:val="nil"/>
              <w:right w:val="nil"/>
            </w:tcBorders>
          </w:tcPr>
          <w:p>
            <w:pPr>
              <w:jc w:val="center"/>
              <w:rPr>
                <w:rFonts w:cs="Arial"/>
                <w:b/>
                <w:bCs/>
                <w:color w:val="000000"/>
                <w:sz w:val="18"/>
                <w:szCs w:val="18"/>
              </w:rPr>
            </w:pPr>
          </w:p>
        </w:tc>
        <w:tc>
          <w:tcPr>
            <w:tcW w:w="105" w:type="dxa"/>
            <w:tcBorders>
              <w:left w:val="nil"/>
              <w:right w:val="nil"/>
            </w:tcBorders>
          </w:tcPr>
          <w:p>
            <w:pPr>
              <w:jc w:val="right"/>
              <w:rPr>
                <w:rFonts w:cs="Arial"/>
                <w:b/>
                <w:bCs/>
                <w:color w:val="000000"/>
                <w:sz w:val="18"/>
                <w:szCs w:val="18"/>
              </w:rPr>
            </w:pPr>
          </w:p>
        </w:tc>
        <w:tc>
          <w:tcPr>
            <w:tcW w:w="1470" w:type="dxa"/>
            <w:tcBorders>
              <w:top w:val="double" w:sz="4" w:space="0" w:color="auto"/>
              <w:left w:val="nil"/>
              <w:right w:val="nil"/>
            </w:tcBorders>
            <w:vAlign w:val="center"/>
          </w:tcPr>
          <w:p>
            <w:pPr>
              <w:jc w:val="right"/>
              <w:rPr>
                <w:rFonts w:cs="Arial"/>
                <w:b/>
                <w:bCs/>
                <w:color w:val="000000"/>
                <w:sz w:val="18"/>
                <w:szCs w:val="18"/>
              </w:rPr>
            </w:pPr>
          </w:p>
        </w:tc>
        <w:tc>
          <w:tcPr>
            <w:tcW w:w="171" w:type="dxa"/>
            <w:tcBorders>
              <w:left w:val="nil"/>
              <w:right w:val="nil"/>
            </w:tcBorders>
          </w:tcPr>
          <w:p>
            <w:pPr>
              <w:jc w:val="right"/>
              <w:rPr>
                <w:rFonts w:cs="Arial"/>
                <w:b/>
                <w:bCs/>
                <w:color w:val="000000"/>
                <w:sz w:val="18"/>
                <w:szCs w:val="18"/>
              </w:rPr>
            </w:pPr>
          </w:p>
        </w:tc>
        <w:tc>
          <w:tcPr>
            <w:tcW w:w="1631" w:type="dxa"/>
            <w:gridSpan w:val="2"/>
            <w:tcBorders>
              <w:top w:val="double" w:sz="4" w:space="0" w:color="auto"/>
              <w:left w:val="nil"/>
              <w:right w:val="single" w:sz="4" w:space="0" w:color="auto"/>
            </w:tcBorders>
            <w:vAlign w:val="center"/>
          </w:tcPr>
          <w:p>
            <w:pPr>
              <w:jc w:val="right"/>
              <w:rPr>
                <w:rFonts w:cs="Arial"/>
                <w:b/>
                <w:bCs/>
                <w:color w:val="000000"/>
                <w:sz w:val="18"/>
                <w:szCs w:val="18"/>
              </w:rPr>
            </w:pPr>
          </w:p>
        </w:tc>
      </w:tr>
      <w:tr>
        <w:trPr>
          <w:trHeight w:val="20"/>
          <w:jc w:val="center"/>
        </w:trPr>
        <w:tc>
          <w:tcPr>
            <w:tcW w:w="10459" w:type="dxa"/>
            <w:gridSpan w:val="13"/>
            <w:tcBorders>
              <w:top w:val="nil"/>
              <w:left w:val="single" w:sz="4" w:space="0" w:color="auto"/>
              <w:bottom w:val="nil"/>
              <w:right w:val="nil"/>
            </w:tcBorders>
          </w:tcPr>
          <w:p>
            <w:pPr>
              <w:rPr>
                <w:rFonts w:cs="Arial"/>
                <w:bCs/>
                <w:color w:val="000000"/>
                <w:sz w:val="18"/>
                <w:szCs w:val="18"/>
              </w:rPr>
            </w:pPr>
            <w:r>
              <w:rPr>
                <w:rFonts w:cs="Arial"/>
                <w:bCs/>
                <w:color w:val="000000"/>
                <w:sz w:val="18"/>
                <w:szCs w:val="18"/>
              </w:rPr>
              <w:t>As notas explicativas integram as demonstrações contábeis intermediárias.</w:t>
            </w:r>
          </w:p>
        </w:tc>
        <w:tc>
          <w:tcPr>
            <w:tcW w:w="486" w:type="dxa"/>
            <w:gridSpan w:val="2"/>
            <w:tcBorders>
              <w:top w:val="nil"/>
              <w:left w:val="nil"/>
              <w:bottom w:val="nil"/>
              <w:right w:val="nil"/>
            </w:tcBorders>
          </w:tcPr>
          <w:p>
            <w:pPr>
              <w:rPr>
                <w:rFonts w:cs="Arial"/>
                <w:bCs/>
                <w:color w:val="000000"/>
                <w:sz w:val="18"/>
                <w:szCs w:val="18"/>
              </w:rPr>
            </w:pPr>
          </w:p>
        </w:tc>
        <w:tc>
          <w:tcPr>
            <w:tcW w:w="105" w:type="dxa"/>
            <w:tcBorders>
              <w:top w:val="nil"/>
              <w:left w:val="nil"/>
              <w:bottom w:val="nil"/>
              <w:right w:val="nil"/>
            </w:tcBorders>
          </w:tcPr>
          <w:p>
            <w:pPr>
              <w:rPr>
                <w:rFonts w:cs="Arial"/>
                <w:bCs/>
                <w:color w:val="000000"/>
                <w:sz w:val="18"/>
                <w:szCs w:val="18"/>
              </w:rPr>
            </w:pPr>
          </w:p>
        </w:tc>
        <w:tc>
          <w:tcPr>
            <w:tcW w:w="1470" w:type="dxa"/>
            <w:tcBorders>
              <w:top w:val="nil"/>
              <w:left w:val="nil"/>
              <w:bottom w:val="nil"/>
              <w:right w:val="nil"/>
            </w:tcBorders>
            <w:vAlign w:val="center"/>
          </w:tcPr>
          <w:p>
            <w:pPr>
              <w:rPr>
                <w:rFonts w:cs="Arial"/>
                <w:bCs/>
                <w:color w:val="000000"/>
                <w:sz w:val="18"/>
                <w:szCs w:val="18"/>
              </w:rPr>
            </w:pPr>
          </w:p>
        </w:tc>
        <w:tc>
          <w:tcPr>
            <w:tcW w:w="171" w:type="dxa"/>
            <w:tcBorders>
              <w:top w:val="nil"/>
              <w:left w:val="nil"/>
              <w:bottom w:val="nil"/>
              <w:right w:val="nil"/>
            </w:tcBorders>
          </w:tcPr>
          <w:p>
            <w:pPr>
              <w:rPr>
                <w:rFonts w:cs="Arial"/>
                <w:bCs/>
                <w:color w:val="000000"/>
                <w:sz w:val="18"/>
                <w:szCs w:val="18"/>
              </w:rPr>
            </w:pPr>
          </w:p>
        </w:tc>
        <w:tc>
          <w:tcPr>
            <w:tcW w:w="1631" w:type="dxa"/>
            <w:gridSpan w:val="2"/>
            <w:tcBorders>
              <w:top w:val="nil"/>
              <w:left w:val="nil"/>
              <w:bottom w:val="nil"/>
              <w:right w:val="single" w:sz="4" w:space="0" w:color="auto"/>
            </w:tcBorders>
            <w:vAlign w:val="center"/>
          </w:tcPr>
          <w:p>
            <w:pPr>
              <w:rPr>
                <w:rFonts w:cs="Arial"/>
                <w:bCs/>
                <w:color w:val="000000"/>
                <w:sz w:val="18"/>
                <w:szCs w:val="18"/>
              </w:rPr>
            </w:pPr>
          </w:p>
        </w:tc>
      </w:tr>
      <w:tr>
        <w:trPr>
          <w:trHeight w:val="20"/>
          <w:jc w:val="center"/>
        </w:trPr>
        <w:tc>
          <w:tcPr>
            <w:tcW w:w="4505" w:type="dxa"/>
            <w:tcBorders>
              <w:top w:val="nil"/>
              <w:left w:val="single" w:sz="4" w:space="0" w:color="auto"/>
              <w:bottom w:val="single" w:sz="4" w:space="0" w:color="auto"/>
              <w:right w:val="nil"/>
            </w:tcBorders>
            <w:vAlign w:val="center"/>
          </w:tcPr>
          <w:p>
            <w:pPr>
              <w:rPr>
                <w:rFonts w:cs="Arial"/>
                <w:bCs/>
                <w:color w:val="000000"/>
                <w:sz w:val="16"/>
                <w:szCs w:val="16"/>
              </w:rPr>
            </w:pPr>
          </w:p>
        </w:tc>
        <w:tc>
          <w:tcPr>
            <w:tcW w:w="447" w:type="dxa"/>
            <w:tcBorders>
              <w:top w:val="nil"/>
              <w:left w:val="nil"/>
              <w:bottom w:val="single" w:sz="4" w:space="0" w:color="auto"/>
              <w:right w:val="nil"/>
            </w:tcBorders>
          </w:tcPr>
          <w:p>
            <w:pPr>
              <w:rPr>
                <w:rFonts w:cs="Arial"/>
                <w:bCs/>
                <w:color w:val="000000"/>
                <w:sz w:val="16"/>
                <w:szCs w:val="16"/>
              </w:rPr>
            </w:pPr>
          </w:p>
        </w:tc>
        <w:tc>
          <w:tcPr>
            <w:tcW w:w="125" w:type="dxa"/>
            <w:tcBorders>
              <w:top w:val="nil"/>
              <w:left w:val="nil"/>
              <w:bottom w:val="single" w:sz="4" w:space="0" w:color="auto"/>
              <w:right w:val="nil"/>
            </w:tcBorders>
          </w:tcPr>
          <w:p>
            <w:pPr>
              <w:rPr>
                <w:rFonts w:cs="Arial"/>
                <w:bCs/>
                <w:color w:val="000000"/>
                <w:sz w:val="16"/>
                <w:szCs w:val="16"/>
              </w:rPr>
            </w:pPr>
          </w:p>
        </w:tc>
        <w:tc>
          <w:tcPr>
            <w:tcW w:w="1013" w:type="dxa"/>
            <w:gridSpan w:val="2"/>
            <w:tcBorders>
              <w:top w:val="nil"/>
              <w:left w:val="nil"/>
              <w:bottom w:val="single" w:sz="4" w:space="0" w:color="auto"/>
              <w:right w:val="nil"/>
            </w:tcBorders>
            <w:vAlign w:val="center"/>
          </w:tcPr>
          <w:p>
            <w:pPr>
              <w:rPr>
                <w:rFonts w:cs="Arial"/>
                <w:bCs/>
                <w:color w:val="000000"/>
                <w:sz w:val="16"/>
                <w:szCs w:val="16"/>
              </w:rPr>
            </w:pPr>
          </w:p>
        </w:tc>
        <w:tc>
          <w:tcPr>
            <w:tcW w:w="115" w:type="dxa"/>
            <w:tcBorders>
              <w:top w:val="nil"/>
              <w:left w:val="nil"/>
              <w:bottom w:val="single" w:sz="4" w:space="0" w:color="auto"/>
              <w:right w:val="nil"/>
            </w:tcBorders>
          </w:tcPr>
          <w:p>
            <w:pPr>
              <w:rPr>
                <w:rFonts w:cs="Arial"/>
                <w:bCs/>
                <w:color w:val="000000"/>
                <w:sz w:val="16"/>
                <w:szCs w:val="16"/>
              </w:rPr>
            </w:pPr>
          </w:p>
        </w:tc>
        <w:tc>
          <w:tcPr>
            <w:tcW w:w="1011" w:type="dxa"/>
            <w:gridSpan w:val="2"/>
            <w:tcBorders>
              <w:top w:val="nil"/>
              <w:left w:val="nil"/>
              <w:bottom w:val="single" w:sz="4" w:space="0" w:color="auto"/>
              <w:right w:val="nil"/>
            </w:tcBorders>
            <w:vAlign w:val="center"/>
          </w:tcPr>
          <w:p>
            <w:pPr>
              <w:rPr>
                <w:rFonts w:cs="Arial"/>
                <w:bCs/>
                <w:color w:val="000000"/>
                <w:sz w:val="16"/>
                <w:szCs w:val="16"/>
              </w:rPr>
            </w:pPr>
          </w:p>
        </w:tc>
        <w:tc>
          <w:tcPr>
            <w:tcW w:w="182" w:type="dxa"/>
            <w:gridSpan w:val="2"/>
            <w:tcBorders>
              <w:top w:val="nil"/>
              <w:left w:val="nil"/>
              <w:bottom w:val="single" w:sz="4" w:space="0" w:color="auto"/>
              <w:right w:val="nil"/>
            </w:tcBorders>
          </w:tcPr>
          <w:p>
            <w:pPr>
              <w:rPr>
                <w:rFonts w:cs="Arial"/>
                <w:bCs/>
                <w:color w:val="000000"/>
                <w:sz w:val="16"/>
                <w:szCs w:val="16"/>
              </w:rPr>
            </w:pPr>
          </w:p>
        </w:tc>
        <w:tc>
          <w:tcPr>
            <w:tcW w:w="3061" w:type="dxa"/>
            <w:gridSpan w:val="3"/>
            <w:tcBorders>
              <w:top w:val="nil"/>
              <w:left w:val="nil"/>
              <w:bottom w:val="single" w:sz="4" w:space="0" w:color="auto"/>
              <w:right w:val="nil"/>
            </w:tcBorders>
            <w:vAlign w:val="center"/>
          </w:tcPr>
          <w:p>
            <w:pPr>
              <w:rPr>
                <w:rFonts w:cs="Arial"/>
                <w:bCs/>
                <w:color w:val="000000"/>
                <w:sz w:val="16"/>
                <w:szCs w:val="16"/>
              </w:rPr>
            </w:pPr>
          </w:p>
        </w:tc>
        <w:tc>
          <w:tcPr>
            <w:tcW w:w="486" w:type="dxa"/>
            <w:gridSpan w:val="2"/>
            <w:tcBorders>
              <w:top w:val="nil"/>
              <w:left w:val="nil"/>
              <w:bottom w:val="single" w:sz="4" w:space="0" w:color="auto"/>
              <w:right w:val="nil"/>
            </w:tcBorders>
          </w:tcPr>
          <w:p>
            <w:pPr>
              <w:rPr>
                <w:rFonts w:cs="Arial"/>
                <w:bCs/>
                <w:color w:val="000000"/>
                <w:sz w:val="16"/>
                <w:szCs w:val="16"/>
              </w:rPr>
            </w:pPr>
          </w:p>
        </w:tc>
        <w:tc>
          <w:tcPr>
            <w:tcW w:w="105" w:type="dxa"/>
            <w:tcBorders>
              <w:top w:val="nil"/>
              <w:left w:val="nil"/>
              <w:bottom w:val="single" w:sz="4" w:space="0" w:color="auto"/>
              <w:right w:val="nil"/>
            </w:tcBorders>
          </w:tcPr>
          <w:p>
            <w:pPr>
              <w:rPr>
                <w:rFonts w:cs="Arial"/>
                <w:bCs/>
                <w:color w:val="000000"/>
                <w:sz w:val="16"/>
                <w:szCs w:val="16"/>
              </w:rPr>
            </w:pPr>
          </w:p>
        </w:tc>
        <w:tc>
          <w:tcPr>
            <w:tcW w:w="1470" w:type="dxa"/>
            <w:tcBorders>
              <w:top w:val="nil"/>
              <w:left w:val="nil"/>
              <w:bottom w:val="single" w:sz="4" w:space="0" w:color="auto"/>
              <w:right w:val="nil"/>
            </w:tcBorders>
            <w:vAlign w:val="center"/>
          </w:tcPr>
          <w:p>
            <w:pPr>
              <w:rPr>
                <w:rFonts w:cs="Arial"/>
                <w:bCs/>
                <w:color w:val="000000"/>
                <w:sz w:val="16"/>
                <w:szCs w:val="16"/>
              </w:rPr>
            </w:pPr>
          </w:p>
        </w:tc>
        <w:tc>
          <w:tcPr>
            <w:tcW w:w="171" w:type="dxa"/>
            <w:tcBorders>
              <w:top w:val="nil"/>
              <w:left w:val="nil"/>
              <w:bottom w:val="single" w:sz="4" w:space="0" w:color="auto"/>
              <w:right w:val="nil"/>
            </w:tcBorders>
          </w:tcPr>
          <w:p>
            <w:pPr>
              <w:rPr>
                <w:rFonts w:cs="Arial"/>
                <w:bCs/>
                <w:color w:val="000000"/>
                <w:sz w:val="16"/>
                <w:szCs w:val="16"/>
              </w:rPr>
            </w:pPr>
          </w:p>
        </w:tc>
        <w:tc>
          <w:tcPr>
            <w:tcW w:w="1631" w:type="dxa"/>
            <w:gridSpan w:val="2"/>
            <w:tcBorders>
              <w:top w:val="nil"/>
              <w:left w:val="nil"/>
              <w:bottom w:val="single" w:sz="4" w:space="0" w:color="auto"/>
              <w:right w:val="single" w:sz="4" w:space="0" w:color="auto"/>
            </w:tcBorders>
            <w:vAlign w:val="center"/>
          </w:tcPr>
          <w:p>
            <w:pPr>
              <w:rPr>
                <w:rFonts w:cs="Arial"/>
                <w:bCs/>
                <w:color w:val="000000"/>
                <w:sz w:val="16"/>
                <w:szCs w:val="16"/>
              </w:rPr>
            </w:pPr>
          </w:p>
        </w:tc>
      </w:tr>
    </w:tbl>
    <w:p>
      <w:pPr>
        <w:ind w:left="706" w:hanging="706"/>
        <w:rPr>
          <w:rFonts w:cs="Arial"/>
          <w:szCs w:val="24"/>
        </w:rPr>
      </w:pPr>
      <w:bookmarkStart w:id="1" w:name="_BALANÇO_PATRIMONIAL"/>
      <w:bookmarkEnd w:id="1"/>
    </w:p>
    <w:tbl>
      <w:tblPr>
        <w:tblpPr w:leftFromText="141" w:rightFromText="141" w:vertAnchor="text" w:horzAnchor="margin" w:tblpY="-13"/>
        <w:tblW w:w="15011" w:type="dxa"/>
        <w:tblLayout w:type="fixed"/>
        <w:tblCellMar>
          <w:left w:w="0" w:type="dxa"/>
          <w:right w:w="0" w:type="dxa"/>
        </w:tblCellMar>
        <w:tblLook w:val="0000" w:firstRow="0" w:lastRow="0" w:firstColumn="0" w:lastColumn="0" w:noHBand="0" w:noVBand="0"/>
      </w:tblPr>
      <w:tblGrid>
        <w:gridCol w:w="9969"/>
        <w:gridCol w:w="42"/>
        <w:gridCol w:w="502"/>
        <w:gridCol w:w="446"/>
        <w:gridCol w:w="121"/>
        <w:gridCol w:w="20"/>
        <w:gridCol w:w="305"/>
        <w:gridCol w:w="20"/>
        <w:gridCol w:w="1074"/>
        <w:gridCol w:w="217"/>
        <w:gridCol w:w="326"/>
        <w:gridCol w:w="1426"/>
        <w:gridCol w:w="217"/>
        <w:gridCol w:w="326"/>
      </w:tblGrid>
      <w:tr>
        <w:trPr>
          <w:gridAfter w:val="2"/>
          <w:wAfter w:w="543" w:type="dxa"/>
          <w:trHeight w:val="259"/>
        </w:trPr>
        <w:tc>
          <w:tcPr>
            <w:tcW w:w="14468" w:type="dxa"/>
            <w:gridSpan w:val="12"/>
            <w:tcBorders>
              <w:top w:val="single" w:sz="8" w:space="0" w:color="000000"/>
              <w:left w:val="single" w:sz="8" w:space="0" w:color="000000"/>
              <w:bottom w:val="nil"/>
              <w:right w:val="single" w:sz="8" w:space="0" w:color="000000"/>
            </w:tcBorders>
          </w:tcPr>
          <w:p>
            <w:pPr>
              <w:rPr>
                <w:rFonts w:cs="Arial"/>
                <w:b/>
                <w:bCs/>
                <w:color w:val="000000"/>
                <w:sz w:val="20"/>
              </w:rPr>
            </w:pPr>
          </w:p>
        </w:tc>
      </w:tr>
      <w:tr>
        <w:trPr>
          <w:gridAfter w:val="2"/>
          <w:wAfter w:w="543" w:type="dxa"/>
          <w:trHeight w:val="259"/>
        </w:trPr>
        <w:tc>
          <w:tcPr>
            <w:tcW w:w="14468" w:type="dxa"/>
            <w:gridSpan w:val="12"/>
            <w:tcBorders>
              <w:top w:val="nil"/>
              <w:left w:val="single" w:sz="8" w:space="0" w:color="000000"/>
              <w:bottom w:val="nil"/>
              <w:right w:val="single" w:sz="8" w:space="0" w:color="000000"/>
            </w:tcBorders>
          </w:tcPr>
          <w:p>
            <w:pPr>
              <w:pStyle w:val="Ttulo2"/>
              <w:ind w:left="0"/>
            </w:pPr>
            <w:bookmarkStart w:id="2" w:name="OLE_LINK1"/>
            <w:bookmarkStart w:id="3" w:name="_Toc41376081"/>
            <w:r>
              <w:t>DEMONSTRAÇÃO DO RESULTADO</w:t>
            </w:r>
            <w:bookmarkEnd w:id="3"/>
            <w:r>
              <w:t xml:space="preserve"> </w:t>
            </w:r>
          </w:p>
          <w:p>
            <w:pPr>
              <w:rPr>
                <w:rFonts w:cs="Arial"/>
              </w:rPr>
            </w:pPr>
            <w:r>
              <w:rPr>
                <w:rFonts w:cs="Arial"/>
                <w:b/>
                <w:sz w:val="20"/>
              </w:rPr>
              <w:t>PARA O PERÍODO DE TRÊS MESES FINDOS EM 31 DE MARÇO DE 2020 E 201</w:t>
            </w:r>
            <w:bookmarkEnd w:id="2"/>
            <w:r>
              <w:rPr>
                <w:rFonts w:cs="Arial"/>
                <w:b/>
                <w:sz w:val="20"/>
              </w:rPr>
              <w:t>9</w:t>
            </w:r>
          </w:p>
        </w:tc>
      </w:tr>
      <w:tr>
        <w:trPr>
          <w:gridAfter w:val="2"/>
          <w:wAfter w:w="543" w:type="dxa"/>
          <w:trHeight w:val="259"/>
        </w:trPr>
        <w:tc>
          <w:tcPr>
            <w:tcW w:w="10513" w:type="dxa"/>
            <w:gridSpan w:val="3"/>
            <w:tcBorders>
              <w:top w:val="nil"/>
              <w:left w:val="single" w:sz="8" w:space="0" w:color="000000"/>
              <w:bottom w:val="nil"/>
              <w:right w:val="nil"/>
            </w:tcBorders>
            <w:vAlign w:val="bottom"/>
          </w:tcPr>
          <w:p>
            <w:pPr>
              <w:rPr>
                <w:rFonts w:cs="Arial"/>
                <w:b/>
                <w:bCs/>
                <w:color w:val="000000"/>
                <w:sz w:val="20"/>
              </w:rPr>
            </w:pPr>
            <w:r>
              <w:rPr>
                <w:rFonts w:cs="Arial"/>
                <w:b/>
                <w:bCs/>
                <w:color w:val="000000"/>
                <w:sz w:val="20"/>
              </w:rPr>
              <w:t>(Em milhares de reais)</w:t>
            </w:r>
          </w:p>
        </w:tc>
        <w:tc>
          <w:tcPr>
            <w:tcW w:w="446" w:type="dxa"/>
            <w:tcBorders>
              <w:top w:val="nil"/>
              <w:left w:val="nil"/>
              <w:right w:val="nil"/>
            </w:tcBorders>
          </w:tcPr>
          <w:p>
            <w:pPr>
              <w:rPr>
                <w:rFonts w:cs="Arial"/>
                <w:b/>
                <w:bCs/>
                <w:color w:val="000000"/>
                <w:sz w:val="20"/>
              </w:rPr>
            </w:pPr>
          </w:p>
        </w:tc>
        <w:tc>
          <w:tcPr>
            <w:tcW w:w="121" w:type="dxa"/>
            <w:tcBorders>
              <w:top w:val="nil"/>
              <w:left w:val="nil"/>
              <w:right w:val="nil"/>
            </w:tcBorders>
          </w:tcPr>
          <w:p>
            <w:pPr>
              <w:rPr>
                <w:rFonts w:cs="Arial"/>
                <w:b/>
                <w:bCs/>
                <w:color w:val="000000"/>
                <w:sz w:val="20"/>
              </w:rPr>
            </w:pPr>
          </w:p>
        </w:tc>
        <w:tc>
          <w:tcPr>
            <w:tcW w:w="20" w:type="dxa"/>
            <w:tcBorders>
              <w:top w:val="nil"/>
              <w:left w:val="nil"/>
              <w:bottom w:val="nil"/>
              <w:right w:val="nil"/>
            </w:tcBorders>
          </w:tcPr>
          <w:p>
            <w:pPr>
              <w:rPr>
                <w:rFonts w:cs="Arial"/>
                <w:b/>
                <w:bCs/>
                <w:color w:val="000000"/>
                <w:sz w:val="20"/>
              </w:rPr>
            </w:pPr>
          </w:p>
        </w:tc>
        <w:tc>
          <w:tcPr>
            <w:tcW w:w="1399" w:type="dxa"/>
            <w:gridSpan w:val="3"/>
            <w:tcBorders>
              <w:top w:val="nil"/>
              <w:left w:val="nil"/>
              <w:bottom w:val="nil"/>
              <w:right w:val="nil"/>
            </w:tcBorders>
            <w:vAlign w:val="bottom"/>
          </w:tcPr>
          <w:p>
            <w:pPr>
              <w:rPr>
                <w:rFonts w:cs="Arial"/>
                <w:b/>
                <w:bCs/>
                <w:color w:val="000000"/>
                <w:sz w:val="20"/>
              </w:rPr>
            </w:pPr>
          </w:p>
        </w:tc>
        <w:tc>
          <w:tcPr>
            <w:tcW w:w="217" w:type="dxa"/>
            <w:tcBorders>
              <w:top w:val="nil"/>
              <w:left w:val="nil"/>
              <w:bottom w:val="nil"/>
              <w:right w:val="nil"/>
            </w:tcBorders>
            <w:vAlign w:val="bottom"/>
          </w:tcPr>
          <w:p>
            <w:pPr>
              <w:rPr>
                <w:rFonts w:cs="Arial"/>
                <w:b/>
                <w:bCs/>
                <w:color w:val="000000"/>
                <w:sz w:val="20"/>
              </w:rPr>
            </w:pPr>
          </w:p>
        </w:tc>
        <w:tc>
          <w:tcPr>
            <w:tcW w:w="1752" w:type="dxa"/>
            <w:gridSpan w:val="2"/>
            <w:tcBorders>
              <w:top w:val="nil"/>
              <w:left w:val="nil"/>
              <w:bottom w:val="nil"/>
              <w:right w:val="single" w:sz="8" w:space="0" w:color="000000"/>
            </w:tcBorders>
            <w:vAlign w:val="bottom"/>
          </w:tcPr>
          <w:p>
            <w:pPr>
              <w:rPr>
                <w:rFonts w:cs="Arial"/>
                <w:b/>
                <w:bCs/>
                <w:color w:val="000000"/>
                <w:sz w:val="20"/>
              </w:rPr>
            </w:pPr>
          </w:p>
        </w:tc>
      </w:tr>
      <w:tr>
        <w:trPr>
          <w:gridAfter w:val="2"/>
          <w:wAfter w:w="543" w:type="dxa"/>
          <w:trHeight w:val="115"/>
        </w:trPr>
        <w:tc>
          <w:tcPr>
            <w:tcW w:w="10513" w:type="dxa"/>
            <w:gridSpan w:val="3"/>
            <w:tcBorders>
              <w:top w:val="nil"/>
              <w:left w:val="single" w:sz="8" w:space="0" w:color="000000"/>
              <w:bottom w:val="nil"/>
              <w:right w:val="nil"/>
            </w:tcBorders>
          </w:tcPr>
          <w:p>
            <w:pPr>
              <w:pStyle w:val="Ttulo3"/>
              <w:rPr>
                <w:b w:val="0"/>
                <w:bCs/>
                <w:color w:val="000000"/>
                <w:sz w:val="20"/>
                <w:szCs w:val="20"/>
              </w:rPr>
            </w:pPr>
            <w:r>
              <w:rPr>
                <w:b w:val="0"/>
                <w:bCs/>
                <w:color w:val="000000"/>
                <w:sz w:val="20"/>
                <w:szCs w:val="20"/>
              </w:rPr>
              <w:t xml:space="preserve">                                                                                                                </w:t>
            </w:r>
          </w:p>
        </w:tc>
        <w:tc>
          <w:tcPr>
            <w:tcW w:w="446" w:type="dxa"/>
            <w:tcBorders>
              <w:top w:val="nil"/>
              <w:left w:val="nil"/>
              <w:right w:val="nil"/>
            </w:tcBorders>
          </w:tcPr>
          <w:p>
            <w:pPr>
              <w:jc w:val="center"/>
              <w:rPr>
                <w:rFonts w:cs="Arial"/>
                <w:b/>
                <w:bCs/>
                <w:color w:val="000000"/>
                <w:sz w:val="20"/>
              </w:rPr>
            </w:pPr>
            <w:r>
              <w:rPr>
                <w:rFonts w:cs="Arial"/>
                <w:b/>
                <w:bCs/>
                <w:color w:val="000000"/>
                <w:sz w:val="20"/>
              </w:rPr>
              <w:t>Nota</w:t>
            </w:r>
          </w:p>
        </w:tc>
        <w:tc>
          <w:tcPr>
            <w:tcW w:w="121" w:type="dxa"/>
            <w:tcBorders>
              <w:top w:val="nil"/>
              <w:left w:val="nil"/>
              <w:right w:val="nil"/>
            </w:tcBorders>
          </w:tcPr>
          <w:p>
            <w:pPr>
              <w:jc w:val="right"/>
              <w:rPr>
                <w:rFonts w:cs="Arial"/>
                <w:b/>
                <w:bCs/>
                <w:color w:val="000000"/>
                <w:sz w:val="20"/>
              </w:rPr>
            </w:pPr>
          </w:p>
        </w:tc>
        <w:tc>
          <w:tcPr>
            <w:tcW w:w="20" w:type="dxa"/>
            <w:tcBorders>
              <w:top w:val="nil"/>
              <w:left w:val="nil"/>
              <w:bottom w:val="single" w:sz="2" w:space="0" w:color="000000"/>
              <w:right w:val="nil"/>
            </w:tcBorders>
          </w:tcPr>
          <w:p>
            <w:pPr>
              <w:jc w:val="right"/>
              <w:rPr>
                <w:rFonts w:cs="Arial"/>
                <w:b/>
                <w:bCs/>
                <w:color w:val="000000"/>
                <w:sz w:val="20"/>
              </w:rPr>
            </w:pPr>
          </w:p>
        </w:tc>
        <w:tc>
          <w:tcPr>
            <w:tcW w:w="1399" w:type="dxa"/>
            <w:gridSpan w:val="3"/>
            <w:tcBorders>
              <w:top w:val="nil"/>
              <w:left w:val="nil"/>
              <w:bottom w:val="single" w:sz="2" w:space="0" w:color="000000"/>
              <w:right w:val="nil"/>
            </w:tcBorders>
            <w:vAlign w:val="bottom"/>
          </w:tcPr>
          <w:p>
            <w:pPr>
              <w:jc w:val="right"/>
              <w:rPr>
                <w:rFonts w:cs="Arial"/>
                <w:b/>
                <w:bCs/>
                <w:color w:val="000000"/>
                <w:sz w:val="20"/>
              </w:rPr>
            </w:pPr>
            <w:r>
              <w:rPr>
                <w:rFonts w:cs="Arial"/>
                <w:b/>
                <w:bCs/>
                <w:color w:val="000000"/>
                <w:sz w:val="20"/>
              </w:rPr>
              <w:t>31.03.2020</w:t>
            </w:r>
          </w:p>
        </w:tc>
        <w:tc>
          <w:tcPr>
            <w:tcW w:w="217" w:type="dxa"/>
            <w:tcBorders>
              <w:top w:val="nil"/>
              <w:left w:val="nil"/>
              <w:bottom w:val="nil"/>
              <w:right w:val="nil"/>
            </w:tcBorders>
            <w:vAlign w:val="bottom"/>
          </w:tcPr>
          <w:p>
            <w:pPr>
              <w:rPr>
                <w:rFonts w:cs="Arial"/>
                <w:b/>
                <w:bCs/>
                <w:color w:val="000000"/>
                <w:sz w:val="20"/>
              </w:rPr>
            </w:pPr>
          </w:p>
        </w:tc>
        <w:tc>
          <w:tcPr>
            <w:tcW w:w="1752" w:type="dxa"/>
            <w:gridSpan w:val="2"/>
            <w:tcBorders>
              <w:top w:val="nil"/>
              <w:left w:val="nil"/>
              <w:bottom w:val="single" w:sz="2" w:space="0" w:color="000000"/>
              <w:right w:val="single" w:sz="8" w:space="0" w:color="000000"/>
            </w:tcBorders>
            <w:vAlign w:val="bottom"/>
          </w:tcPr>
          <w:p>
            <w:pPr>
              <w:jc w:val="right"/>
              <w:rPr>
                <w:rFonts w:cs="Arial"/>
                <w:b/>
                <w:bCs/>
                <w:color w:val="000000"/>
                <w:sz w:val="20"/>
              </w:rPr>
            </w:pPr>
            <w:r>
              <w:rPr>
                <w:rFonts w:cs="Arial"/>
                <w:b/>
                <w:bCs/>
                <w:color w:val="000000"/>
                <w:sz w:val="20"/>
              </w:rPr>
              <w:t>31.03.2019</w:t>
            </w:r>
          </w:p>
        </w:tc>
      </w:tr>
      <w:tr>
        <w:trPr>
          <w:gridAfter w:val="2"/>
          <w:wAfter w:w="543" w:type="dxa"/>
          <w:trHeight w:val="234"/>
        </w:trPr>
        <w:tc>
          <w:tcPr>
            <w:tcW w:w="10513" w:type="dxa"/>
            <w:gridSpan w:val="3"/>
            <w:tcBorders>
              <w:top w:val="nil"/>
              <w:left w:val="single" w:sz="8" w:space="0" w:color="000000"/>
              <w:bottom w:val="nil"/>
              <w:right w:val="nil"/>
            </w:tcBorders>
          </w:tcPr>
          <w:p>
            <w:pPr>
              <w:jc w:val="right"/>
              <w:rPr>
                <w:rFonts w:cs="Arial"/>
                <w:b/>
                <w:bCs/>
                <w:color w:val="000000"/>
                <w:sz w:val="20"/>
              </w:rPr>
            </w:pPr>
          </w:p>
        </w:tc>
        <w:tc>
          <w:tcPr>
            <w:tcW w:w="446" w:type="dxa"/>
            <w:tcBorders>
              <w:left w:val="nil"/>
              <w:bottom w:val="nil"/>
              <w:right w:val="nil"/>
            </w:tcBorders>
          </w:tcPr>
          <w:p>
            <w:pPr>
              <w:jc w:val="center"/>
              <w:rPr>
                <w:rFonts w:cs="Arial"/>
                <w:b/>
                <w:bCs/>
                <w:color w:val="000000"/>
                <w:sz w:val="20"/>
              </w:rPr>
            </w:pPr>
          </w:p>
        </w:tc>
        <w:tc>
          <w:tcPr>
            <w:tcW w:w="121" w:type="dxa"/>
            <w:tcBorders>
              <w:top w:val="nil"/>
              <w:left w:val="nil"/>
              <w:bottom w:val="nil"/>
              <w:right w:val="nil"/>
            </w:tcBorders>
          </w:tcPr>
          <w:p>
            <w:pPr>
              <w:rPr>
                <w:rFonts w:cs="Arial"/>
                <w:b/>
                <w:bCs/>
                <w:color w:val="000000"/>
                <w:sz w:val="20"/>
              </w:rPr>
            </w:pPr>
          </w:p>
        </w:tc>
        <w:tc>
          <w:tcPr>
            <w:tcW w:w="20" w:type="dxa"/>
            <w:tcBorders>
              <w:top w:val="nil"/>
              <w:left w:val="nil"/>
              <w:bottom w:val="nil"/>
              <w:right w:val="nil"/>
            </w:tcBorders>
          </w:tcPr>
          <w:p>
            <w:pPr>
              <w:rPr>
                <w:rFonts w:cs="Arial"/>
                <w:b/>
                <w:bCs/>
                <w:color w:val="000000"/>
                <w:sz w:val="20"/>
              </w:rPr>
            </w:pPr>
          </w:p>
        </w:tc>
        <w:tc>
          <w:tcPr>
            <w:tcW w:w="1399" w:type="dxa"/>
            <w:gridSpan w:val="3"/>
            <w:tcBorders>
              <w:top w:val="nil"/>
              <w:left w:val="nil"/>
              <w:bottom w:val="nil"/>
              <w:right w:val="nil"/>
            </w:tcBorders>
            <w:vAlign w:val="bottom"/>
          </w:tcPr>
          <w:p>
            <w:pPr>
              <w:rPr>
                <w:rFonts w:cs="Arial"/>
                <w:b/>
                <w:bCs/>
                <w:color w:val="000000"/>
                <w:sz w:val="20"/>
              </w:rPr>
            </w:pPr>
          </w:p>
        </w:tc>
        <w:tc>
          <w:tcPr>
            <w:tcW w:w="217" w:type="dxa"/>
            <w:tcBorders>
              <w:top w:val="nil"/>
              <w:left w:val="nil"/>
              <w:bottom w:val="nil"/>
              <w:right w:val="nil"/>
            </w:tcBorders>
            <w:vAlign w:val="bottom"/>
          </w:tcPr>
          <w:p>
            <w:pPr>
              <w:rPr>
                <w:rFonts w:cs="Arial"/>
                <w:b/>
                <w:bCs/>
                <w:color w:val="000000"/>
                <w:sz w:val="20"/>
              </w:rPr>
            </w:pPr>
          </w:p>
        </w:tc>
        <w:tc>
          <w:tcPr>
            <w:tcW w:w="1752" w:type="dxa"/>
            <w:gridSpan w:val="2"/>
            <w:tcBorders>
              <w:top w:val="nil"/>
              <w:left w:val="nil"/>
              <w:bottom w:val="nil"/>
              <w:right w:val="single" w:sz="8" w:space="0" w:color="000000"/>
            </w:tcBorders>
            <w:vAlign w:val="bottom"/>
          </w:tcPr>
          <w:p>
            <w:pPr>
              <w:jc w:val="right"/>
              <w:rPr>
                <w:rFonts w:cs="Arial"/>
                <w:bCs/>
                <w:color w:val="000000"/>
                <w:sz w:val="20"/>
              </w:rPr>
            </w:pPr>
          </w:p>
        </w:tc>
      </w:tr>
      <w:tr>
        <w:trPr>
          <w:gridAfter w:val="2"/>
          <w:wAfter w:w="543" w:type="dxa"/>
          <w:trHeight w:val="234"/>
        </w:trPr>
        <w:tc>
          <w:tcPr>
            <w:tcW w:w="10513" w:type="dxa"/>
            <w:gridSpan w:val="3"/>
            <w:tcBorders>
              <w:top w:val="nil"/>
              <w:left w:val="single" w:sz="8" w:space="0" w:color="000000"/>
              <w:bottom w:val="nil"/>
              <w:right w:val="nil"/>
            </w:tcBorders>
          </w:tcPr>
          <w:p>
            <w:pPr>
              <w:tabs>
                <w:tab w:val="right" w:pos="5099"/>
              </w:tabs>
              <w:rPr>
                <w:rFonts w:cs="Arial"/>
                <w:b/>
                <w:bCs/>
                <w:color w:val="000000"/>
                <w:sz w:val="20"/>
              </w:rPr>
            </w:pPr>
            <w:r>
              <w:rPr>
                <w:rFonts w:cs="Arial"/>
                <w:b/>
                <w:bCs/>
                <w:color w:val="000000"/>
                <w:sz w:val="20"/>
              </w:rPr>
              <w:t xml:space="preserve">RECEITA OPERACIONAL LÍQUIDA                                                         </w:t>
            </w:r>
          </w:p>
        </w:tc>
        <w:tc>
          <w:tcPr>
            <w:tcW w:w="446" w:type="dxa"/>
            <w:tcBorders>
              <w:top w:val="nil"/>
              <w:left w:val="nil"/>
              <w:right w:val="nil"/>
            </w:tcBorders>
          </w:tcPr>
          <w:p>
            <w:pPr>
              <w:jc w:val="center"/>
              <w:rPr>
                <w:rFonts w:cs="Arial"/>
                <w:bCs/>
                <w:color w:val="000000"/>
                <w:sz w:val="20"/>
              </w:rPr>
            </w:pPr>
            <w:hyperlink w:anchor="_24.1._Receita_Operacional_1" w:history="1">
              <w:r>
                <w:rPr>
                  <w:rStyle w:val="Hyperlink"/>
                  <w:rFonts w:cs="Arial"/>
                  <w:bCs/>
                  <w:sz w:val="20"/>
                </w:rPr>
                <w:t>24.1</w:t>
              </w:r>
            </w:hyperlink>
          </w:p>
        </w:tc>
        <w:tc>
          <w:tcPr>
            <w:tcW w:w="121" w:type="dxa"/>
            <w:tcBorders>
              <w:top w:val="nil"/>
              <w:left w:val="nil"/>
              <w:right w:val="nil"/>
            </w:tcBorders>
          </w:tcPr>
          <w:p>
            <w:pPr>
              <w:jc w:val="right"/>
              <w:rPr>
                <w:rFonts w:cs="Arial"/>
                <w:b/>
                <w:bCs/>
                <w:color w:val="000000"/>
                <w:sz w:val="20"/>
              </w:rPr>
            </w:pPr>
          </w:p>
        </w:tc>
        <w:tc>
          <w:tcPr>
            <w:tcW w:w="20" w:type="dxa"/>
            <w:tcBorders>
              <w:top w:val="nil"/>
              <w:left w:val="nil"/>
              <w:bottom w:val="single" w:sz="2" w:space="0" w:color="000000"/>
              <w:right w:val="nil"/>
            </w:tcBorders>
          </w:tcPr>
          <w:p>
            <w:pPr>
              <w:jc w:val="right"/>
              <w:rPr>
                <w:rFonts w:cs="Arial"/>
                <w:b/>
                <w:bCs/>
                <w:color w:val="000000"/>
                <w:sz w:val="20"/>
              </w:rPr>
            </w:pPr>
          </w:p>
        </w:tc>
        <w:tc>
          <w:tcPr>
            <w:tcW w:w="1399" w:type="dxa"/>
            <w:gridSpan w:val="3"/>
            <w:tcBorders>
              <w:top w:val="nil"/>
              <w:left w:val="nil"/>
              <w:bottom w:val="single" w:sz="2" w:space="0" w:color="000000"/>
              <w:right w:val="nil"/>
            </w:tcBorders>
            <w:vAlign w:val="bottom"/>
          </w:tcPr>
          <w:p>
            <w:pPr>
              <w:jc w:val="right"/>
              <w:rPr>
                <w:rFonts w:cs="Arial"/>
                <w:b/>
                <w:bCs/>
                <w:color w:val="000000"/>
                <w:sz w:val="20"/>
              </w:rPr>
            </w:pPr>
            <w:r>
              <w:rPr>
                <w:rFonts w:cs="Arial"/>
                <w:b/>
                <w:bCs/>
                <w:color w:val="000000"/>
                <w:sz w:val="20"/>
              </w:rPr>
              <w:t>27.954</w:t>
            </w:r>
          </w:p>
        </w:tc>
        <w:tc>
          <w:tcPr>
            <w:tcW w:w="217" w:type="dxa"/>
            <w:tcBorders>
              <w:top w:val="nil"/>
              <w:left w:val="nil"/>
              <w:bottom w:val="nil"/>
              <w:right w:val="nil"/>
            </w:tcBorders>
            <w:vAlign w:val="bottom"/>
          </w:tcPr>
          <w:p>
            <w:pPr>
              <w:rPr>
                <w:rFonts w:cs="Arial"/>
                <w:b/>
                <w:bCs/>
                <w:color w:val="000000"/>
                <w:sz w:val="20"/>
              </w:rPr>
            </w:pPr>
          </w:p>
        </w:tc>
        <w:tc>
          <w:tcPr>
            <w:tcW w:w="1752" w:type="dxa"/>
            <w:gridSpan w:val="2"/>
            <w:tcBorders>
              <w:top w:val="nil"/>
              <w:left w:val="nil"/>
              <w:bottom w:val="single" w:sz="2" w:space="0" w:color="000000"/>
              <w:right w:val="single" w:sz="8" w:space="0" w:color="000000"/>
            </w:tcBorders>
            <w:vAlign w:val="bottom"/>
          </w:tcPr>
          <w:p>
            <w:pPr>
              <w:jc w:val="right"/>
              <w:rPr>
                <w:rFonts w:cs="Arial"/>
                <w:b/>
                <w:bCs/>
                <w:color w:val="000000"/>
                <w:sz w:val="20"/>
              </w:rPr>
            </w:pPr>
            <w:r>
              <w:rPr>
                <w:rFonts w:cs="Arial"/>
                <w:b/>
                <w:bCs/>
                <w:color w:val="000000"/>
                <w:sz w:val="20"/>
              </w:rPr>
              <w:t>23.841</w:t>
            </w:r>
          </w:p>
        </w:tc>
      </w:tr>
      <w:tr>
        <w:trPr>
          <w:gridAfter w:val="1"/>
          <w:wAfter w:w="326" w:type="dxa"/>
          <w:trHeight w:val="234"/>
        </w:trPr>
        <w:tc>
          <w:tcPr>
            <w:tcW w:w="10011" w:type="dxa"/>
            <w:gridSpan w:val="2"/>
            <w:tcBorders>
              <w:top w:val="nil"/>
              <w:left w:val="single" w:sz="8" w:space="0" w:color="000000"/>
              <w:bottom w:val="nil"/>
              <w:right w:val="nil"/>
            </w:tcBorders>
          </w:tcPr>
          <w:p>
            <w:pPr>
              <w:rPr>
                <w:rFonts w:cs="Arial"/>
                <w:bCs/>
                <w:color w:val="000000"/>
                <w:sz w:val="20"/>
              </w:rPr>
            </w:pPr>
            <w:r>
              <w:rPr>
                <w:rFonts w:cs="Arial"/>
                <w:bCs/>
                <w:color w:val="000000"/>
                <w:sz w:val="20"/>
              </w:rPr>
              <w:t>Custo dos serviços prestados e produtos vendidos</w:t>
            </w:r>
          </w:p>
        </w:tc>
        <w:tc>
          <w:tcPr>
            <w:tcW w:w="502" w:type="dxa"/>
            <w:tcBorders>
              <w:top w:val="nil"/>
              <w:left w:val="nil"/>
              <w:bottom w:val="nil"/>
              <w:right w:val="nil"/>
            </w:tcBorders>
          </w:tcPr>
          <w:p>
            <w:pPr>
              <w:tabs>
                <w:tab w:val="right" w:pos="5099"/>
              </w:tabs>
              <w:jc w:val="right"/>
              <w:rPr>
                <w:rFonts w:cs="Arial"/>
                <w:bCs/>
                <w:color w:val="000000"/>
                <w:sz w:val="20"/>
              </w:rPr>
            </w:pPr>
          </w:p>
        </w:tc>
        <w:tc>
          <w:tcPr>
            <w:tcW w:w="446" w:type="dxa"/>
            <w:tcBorders>
              <w:top w:val="nil"/>
              <w:left w:val="nil"/>
              <w:bottom w:val="nil"/>
              <w:right w:val="nil"/>
            </w:tcBorders>
          </w:tcPr>
          <w:p>
            <w:pPr>
              <w:jc w:val="center"/>
              <w:rPr>
                <w:rFonts w:cs="Arial"/>
                <w:bCs/>
                <w:color w:val="000000"/>
                <w:sz w:val="20"/>
              </w:rPr>
            </w:pPr>
            <w:hyperlink w:anchor="_24.2._Custo_dos_1" w:history="1">
              <w:r>
                <w:rPr>
                  <w:rStyle w:val="Hyperlink"/>
                  <w:rFonts w:cs="Arial"/>
                  <w:bCs/>
                  <w:sz w:val="20"/>
                </w:rPr>
                <w:t>24.2</w:t>
              </w:r>
            </w:hyperlink>
          </w:p>
        </w:tc>
        <w:tc>
          <w:tcPr>
            <w:tcW w:w="121" w:type="dxa"/>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399" w:type="dxa"/>
            <w:gridSpan w:val="3"/>
            <w:tcBorders>
              <w:top w:val="nil"/>
              <w:left w:val="nil"/>
              <w:bottom w:val="nil"/>
              <w:right w:val="nil"/>
            </w:tcBorders>
            <w:vAlign w:val="bottom"/>
          </w:tcPr>
          <w:p>
            <w:pPr>
              <w:jc w:val="right"/>
              <w:rPr>
                <w:rFonts w:cs="Arial"/>
                <w:bCs/>
                <w:color w:val="000000"/>
                <w:sz w:val="20"/>
              </w:rPr>
            </w:pPr>
            <w:r>
              <w:rPr>
                <w:rFonts w:cs="Arial"/>
                <w:bCs/>
                <w:color w:val="000000"/>
                <w:sz w:val="20"/>
              </w:rPr>
              <w:t>(12.743)</w:t>
            </w:r>
          </w:p>
        </w:tc>
        <w:tc>
          <w:tcPr>
            <w:tcW w:w="217" w:type="dxa"/>
            <w:tcBorders>
              <w:top w:val="nil"/>
              <w:left w:val="nil"/>
              <w:bottom w:val="nil"/>
              <w:right w:val="nil"/>
            </w:tcBorders>
            <w:vAlign w:val="bottom"/>
          </w:tcPr>
          <w:p>
            <w:pPr>
              <w:rPr>
                <w:rFonts w:cs="Arial"/>
                <w:bCs/>
                <w:color w:val="000000"/>
                <w:sz w:val="20"/>
              </w:rPr>
            </w:pPr>
          </w:p>
        </w:tc>
        <w:tc>
          <w:tcPr>
            <w:tcW w:w="1752" w:type="dxa"/>
            <w:gridSpan w:val="2"/>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(15.666)</w:t>
            </w:r>
          </w:p>
        </w:tc>
        <w:tc>
          <w:tcPr>
            <w:tcW w:w="217" w:type="dxa"/>
            <w:vAlign w:val="bottom"/>
          </w:tcPr>
          <w:p>
            <w:pPr>
              <w:rPr>
                <w:rFonts w:cs="Arial"/>
                <w:bCs/>
                <w:color w:val="000000"/>
                <w:sz w:val="20"/>
              </w:rPr>
            </w:pPr>
          </w:p>
        </w:tc>
      </w:tr>
      <w:tr>
        <w:trPr>
          <w:gridAfter w:val="2"/>
          <w:wAfter w:w="543" w:type="dxa"/>
          <w:trHeight w:val="234"/>
        </w:trPr>
        <w:tc>
          <w:tcPr>
            <w:tcW w:w="10513" w:type="dxa"/>
            <w:gridSpan w:val="3"/>
            <w:tcBorders>
              <w:top w:val="nil"/>
              <w:left w:val="single" w:sz="8" w:space="0" w:color="000000"/>
              <w:bottom w:val="nil"/>
              <w:right w:val="nil"/>
            </w:tcBorders>
          </w:tcPr>
          <w:p>
            <w:pPr>
              <w:rPr>
                <w:rFonts w:cs="Arial"/>
                <w:b/>
                <w:bCs/>
                <w:color w:val="000000"/>
                <w:sz w:val="20"/>
              </w:rPr>
            </w:pPr>
            <w:r>
              <w:rPr>
                <w:rFonts w:cs="Arial"/>
                <w:b/>
                <w:bCs/>
                <w:color w:val="000000"/>
                <w:sz w:val="20"/>
              </w:rPr>
              <w:t>LUCRO BRUTO</w:t>
            </w:r>
          </w:p>
        </w:tc>
        <w:tc>
          <w:tcPr>
            <w:tcW w:w="446" w:type="dxa"/>
            <w:tcBorders>
              <w:top w:val="nil"/>
              <w:left w:val="nil"/>
              <w:right w:val="nil"/>
            </w:tcBorders>
          </w:tcPr>
          <w:p>
            <w:pPr>
              <w:jc w:val="center"/>
              <w:rPr>
                <w:rFonts w:cs="Arial"/>
                <w:b/>
                <w:bCs/>
                <w:color w:val="000000"/>
                <w:sz w:val="20"/>
              </w:rPr>
            </w:pPr>
          </w:p>
        </w:tc>
        <w:tc>
          <w:tcPr>
            <w:tcW w:w="446" w:type="dxa"/>
            <w:gridSpan w:val="3"/>
            <w:tcBorders>
              <w:top w:val="nil"/>
              <w:left w:val="nil"/>
              <w:right w:val="nil"/>
            </w:tcBorders>
          </w:tcPr>
          <w:p>
            <w:pPr>
              <w:jc w:val="right"/>
              <w:rPr>
                <w:rFonts w:cs="Arial"/>
                <w:b/>
                <w:bCs/>
                <w:color w:val="000000"/>
                <w:sz w:val="20"/>
              </w:rPr>
            </w:pPr>
          </w:p>
        </w:tc>
        <w:tc>
          <w:tcPr>
            <w:tcW w:w="20" w:type="dxa"/>
            <w:tcBorders>
              <w:top w:val="nil"/>
              <w:left w:val="nil"/>
              <w:bottom w:val="single" w:sz="2" w:space="0" w:color="000000"/>
              <w:right w:val="nil"/>
            </w:tcBorders>
          </w:tcPr>
          <w:p>
            <w:pPr>
              <w:jc w:val="right"/>
              <w:rPr>
                <w:rFonts w:cs="Arial"/>
                <w:b/>
                <w:bCs/>
                <w:color w:val="000000"/>
                <w:sz w:val="20"/>
              </w:rPr>
            </w:pPr>
          </w:p>
        </w:tc>
        <w:tc>
          <w:tcPr>
            <w:tcW w:w="1074" w:type="dxa"/>
            <w:tcBorders>
              <w:top w:val="nil"/>
              <w:left w:val="nil"/>
              <w:bottom w:val="single" w:sz="2" w:space="0" w:color="000000"/>
              <w:right w:val="nil"/>
            </w:tcBorders>
            <w:vAlign w:val="bottom"/>
          </w:tcPr>
          <w:p>
            <w:pPr>
              <w:jc w:val="right"/>
              <w:rPr>
                <w:rFonts w:cs="Arial"/>
                <w:b/>
                <w:bCs/>
                <w:color w:val="000000"/>
                <w:sz w:val="20"/>
              </w:rPr>
            </w:pPr>
            <w:r>
              <w:rPr>
                <w:rFonts w:cs="Arial"/>
                <w:b/>
                <w:bCs/>
                <w:color w:val="000000"/>
                <w:sz w:val="20"/>
              </w:rPr>
              <w:t>15.211</w:t>
            </w:r>
          </w:p>
        </w:tc>
        <w:tc>
          <w:tcPr>
            <w:tcW w:w="543" w:type="dxa"/>
            <w:gridSpan w:val="2"/>
            <w:tcBorders>
              <w:top w:val="nil"/>
              <w:left w:val="nil"/>
              <w:bottom w:val="nil"/>
              <w:right w:val="nil"/>
            </w:tcBorders>
            <w:vAlign w:val="bottom"/>
          </w:tcPr>
          <w:p>
            <w:pPr>
              <w:rPr>
                <w:rFonts w:cs="Arial"/>
                <w:b/>
                <w:bCs/>
                <w:color w:val="000000"/>
                <w:sz w:val="20"/>
              </w:rPr>
            </w:pPr>
          </w:p>
        </w:tc>
        <w:tc>
          <w:tcPr>
            <w:tcW w:w="1426" w:type="dxa"/>
            <w:tcBorders>
              <w:top w:val="nil"/>
              <w:left w:val="nil"/>
              <w:bottom w:val="single" w:sz="2" w:space="0" w:color="000000"/>
              <w:right w:val="single" w:sz="8" w:space="0" w:color="000000"/>
            </w:tcBorders>
            <w:vAlign w:val="bottom"/>
          </w:tcPr>
          <w:p>
            <w:pPr>
              <w:jc w:val="right"/>
              <w:rPr>
                <w:rFonts w:cs="Arial"/>
                <w:b/>
                <w:bCs/>
                <w:color w:val="000000"/>
                <w:sz w:val="20"/>
              </w:rPr>
            </w:pPr>
            <w:r>
              <w:rPr>
                <w:rFonts w:cs="Arial"/>
                <w:b/>
                <w:bCs/>
                <w:color w:val="000000"/>
                <w:sz w:val="20"/>
              </w:rPr>
              <w:t>8.175</w:t>
            </w:r>
          </w:p>
        </w:tc>
      </w:tr>
      <w:tr>
        <w:trPr>
          <w:gridAfter w:val="2"/>
          <w:wAfter w:w="543" w:type="dxa"/>
          <w:trHeight w:val="234"/>
        </w:trPr>
        <w:tc>
          <w:tcPr>
            <w:tcW w:w="9969" w:type="dxa"/>
            <w:tcBorders>
              <w:top w:val="nil"/>
              <w:left w:val="single" w:sz="8" w:space="0" w:color="000000"/>
              <w:bottom w:val="nil"/>
              <w:right w:val="nil"/>
            </w:tcBorders>
          </w:tcPr>
          <w:p>
            <w:pPr>
              <w:tabs>
                <w:tab w:val="right" w:pos="5099"/>
              </w:tabs>
              <w:rPr>
                <w:rFonts w:cs="Arial"/>
                <w:b/>
                <w:bCs/>
                <w:color w:val="000000"/>
                <w:sz w:val="20"/>
              </w:rPr>
            </w:pPr>
            <w:r>
              <w:rPr>
                <w:rFonts w:cs="Arial"/>
                <w:b/>
                <w:bCs/>
                <w:color w:val="000000"/>
                <w:sz w:val="20"/>
              </w:rPr>
              <w:t>DESPESAS COM VENDAS, GERAIS, ADMINISTRATIVAS E OUTRAS DESPESAS E RECEITAS OPERACIONAIS</w:t>
            </w:r>
          </w:p>
        </w:tc>
        <w:tc>
          <w:tcPr>
            <w:tcW w:w="544" w:type="dxa"/>
            <w:gridSpan w:val="2"/>
            <w:tcBorders>
              <w:top w:val="nil"/>
              <w:left w:val="nil"/>
              <w:bottom w:val="nil"/>
              <w:right w:val="nil"/>
            </w:tcBorders>
          </w:tcPr>
          <w:p>
            <w:pPr>
              <w:tabs>
                <w:tab w:val="right" w:pos="5099"/>
              </w:tabs>
              <w:jc w:val="right"/>
              <w:rPr>
                <w:rFonts w:cs="Arial"/>
                <w:b/>
                <w:bCs/>
                <w:color w:val="000000"/>
                <w:sz w:val="20"/>
              </w:rPr>
            </w:pPr>
          </w:p>
        </w:tc>
        <w:tc>
          <w:tcPr>
            <w:tcW w:w="446" w:type="dxa"/>
            <w:tcBorders>
              <w:top w:val="nil"/>
              <w:left w:val="nil"/>
              <w:bottom w:val="nil"/>
              <w:right w:val="nil"/>
            </w:tcBorders>
          </w:tcPr>
          <w:p>
            <w:pPr>
              <w:jc w:val="center"/>
              <w:rPr>
                <w:rFonts w:cs="Arial"/>
                <w:bCs/>
                <w:color w:val="000000"/>
                <w:sz w:val="20"/>
              </w:rPr>
            </w:pPr>
          </w:p>
        </w:tc>
        <w:tc>
          <w:tcPr>
            <w:tcW w:w="121" w:type="dxa"/>
            <w:tcBorders>
              <w:top w:val="nil"/>
              <w:left w:val="nil"/>
              <w:bottom w:val="nil"/>
              <w:right w:val="nil"/>
            </w:tcBorders>
          </w:tcPr>
          <w:p>
            <w:pPr>
              <w:jc w:val="right"/>
              <w:rPr>
                <w:rFonts w:cs="Arial"/>
                <w:b/>
                <w:bCs/>
                <w:color w:val="000000"/>
                <w:sz w:val="20"/>
              </w:rPr>
            </w:pPr>
          </w:p>
        </w:tc>
        <w:tc>
          <w:tcPr>
            <w:tcW w:w="20" w:type="dxa"/>
            <w:tcBorders>
              <w:top w:val="nil"/>
              <w:left w:val="nil"/>
              <w:bottom w:val="nil"/>
              <w:right w:val="nil"/>
            </w:tcBorders>
          </w:tcPr>
          <w:p>
            <w:pPr>
              <w:jc w:val="right"/>
              <w:rPr>
                <w:rFonts w:cs="Arial"/>
                <w:b/>
                <w:bCs/>
                <w:color w:val="000000"/>
                <w:sz w:val="20"/>
              </w:rPr>
            </w:pPr>
          </w:p>
        </w:tc>
        <w:tc>
          <w:tcPr>
            <w:tcW w:w="1399" w:type="dxa"/>
            <w:gridSpan w:val="3"/>
            <w:tcBorders>
              <w:top w:val="nil"/>
              <w:left w:val="nil"/>
              <w:bottom w:val="nil"/>
              <w:right w:val="nil"/>
            </w:tcBorders>
            <w:vAlign w:val="bottom"/>
          </w:tcPr>
          <w:p>
            <w:pPr>
              <w:jc w:val="right"/>
              <w:rPr>
                <w:rFonts w:cs="Arial"/>
                <w:b/>
                <w:bCs/>
                <w:color w:val="000000"/>
                <w:sz w:val="20"/>
              </w:rPr>
            </w:pPr>
          </w:p>
        </w:tc>
        <w:tc>
          <w:tcPr>
            <w:tcW w:w="217" w:type="dxa"/>
            <w:tcBorders>
              <w:top w:val="nil"/>
              <w:left w:val="nil"/>
              <w:bottom w:val="nil"/>
              <w:right w:val="nil"/>
            </w:tcBorders>
            <w:vAlign w:val="bottom"/>
          </w:tcPr>
          <w:p>
            <w:pPr>
              <w:rPr>
                <w:rFonts w:cs="Arial"/>
                <w:b/>
                <w:bCs/>
                <w:color w:val="000000"/>
                <w:sz w:val="20"/>
              </w:rPr>
            </w:pPr>
          </w:p>
        </w:tc>
        <w:tc>
          <w:tcPr>
            <w:tcW w:w="1752" w:type="dxa"/>
            <w:gridSpan w:val="2"/>
            <w:tcBorders>
              <w:top w:val="nil"/>
              <w:left w:val="nil"/>
              <w:bottom w:val="nil"/>
              <w:right w:val="single" w:sz="8" w:space="0" w:color="000000"/>
            </w:tcBorders>
            <w:vAlign w:val="bottom"/>
          </w:tcPr>
          <w:p>
            <w:pPr>
              <w:jc w:val="right"/>
              <w:rPr>
                <w:rFonts w:cs="Arial"/>
                <w:b/>
                <w:bCs/>
                <w:color w:val="000000"/>
                <w:sz w:val="20"/>
              </w:rPr>
            </w:pPr>
          </w:p>
        </w:tc>
      </w:tr>
      <w:tr>
        <w:trPr>
          <w:gridAfter w:val="2"/>
          <w:wAfter w:w="543" w:type="dxa"/>
          <w:trHeight w:val="234"/>
        </w:trPr>
        <w:tc>
          <w:tcPr>
            <w:tcW w:w="10513" w:type="dxa"/>
            <w:gridSpan w:val="3"/>
            <w:tcBorders>
              <w:top w:val="nil"/>
              <w:left w:val="single" w:sz="8" w:space="0" w:color="000000"/>
              <w:bottom w:val="nil"/>
              <w:right w:val="nil"/>
            </w:tcBorders>
          </w:tcPr>
          <w:p>
            <w:pPr>
              <w:rPr>
                <w:rFonts w:cs="Arial"/>
                <w:bCs/>
                <w:color w:val="000000"/>
                <w:sz w:val="20"/>
              </w:rPr>
            </w:pPr>
            <w:r>
              <w:rPr>
                <w:rFonts w:cs="Arial"/>
                <w:bCs/>
                <w:color w:val="000000"/>
                <w:sz w:val="20"/>
              </w:rPr>
              <w:t>Com vendas</w:t>
            </w:r>
          </w:p>
        </w:tc>
        <w:tc>
          <w:tcPr>
            <w:tcW w:w="446" w:type="dxa"/>
            <w:tcBorders>
              <w:top w:val="nil"/>
              <w:left w:val="nil"/>
              <w:bottom w:val="nil"/>
              <w:right w:val="nil"/>
            </w:tcBorders>
          </w:tcPr>
          <w:p>
            <w:pPr>
              <w:jc w:val="center"/>
              <w:rPr>
                <w:rFonts w:cs="Arial"/>
                <w:bCs/>
                <w:color w:val="000000"/>
                <w:sz w:val="20"/>
              </w:rPr>
            </w:pPr>
          </w:p>
        </w:tc>
        <w:tc>
          <w:tcPr>
            <w:tcW w:w="446" w:type="dxa"/>
            <w:gridSpan w:val="3"/>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074" w:type="dxa"/>
            <w:tcBorders>
              <w:top w:val="nil"/>
              <w:left w:val="nil"/>
              <w:bottom w:val="nil"/>
              <w:right w:val="nil"/>
            </w:tcBorders>
            <w:vAlign w:val="bottom"/>
          </w:tcPr>
          <w:p>
            <w:pPr>
              <w:jc w:val="right"/>
              <w:rPr>
                <w:rFonts w:cs="Arial"/>
                <w:bCs/>
                <w:color w:val="000000"/>
                <w:sz w:val="20"/>
              </w:rPr>
            </w:pPr>
            <w:r>
              <w:rPr>
                <w:rFonts w:cs="Arial"/>
                <w:bCs/>
                <w:color w:val="000000"/>
                <w:sz w:val="20"/>
              </w:rPr>
              <w:t>(4)</w:t>
            </w:r>
          </w:p>
        </w:tc>
        <w:tc>
          <w:tcPr>
            <w:tcW w:w="543" w:type="dxa"/>
            <w:gridSpan w:val="2"/>
            <w:tcBorders>
              <w:top w:val="nil"/>
              <w:left w:val="nil"/>
              <w:bottom w:val="nil"/>
              <w:right w:val="nil"/>
            </w:tcBorders>
            <w:vAlign w:val="bottom"/>
          </w:tcPr>
          <w:p>
            <w:pPr>
              <w:rPr>
                <w:rFonts w:cs="Arial"/>
                <w:bCs/>
                <w:color w:val="000000"/>
                <w:sz w:val="20"/>
              </w:rPr>
            </w:pPr>
          </w:p>
        </w:tc>
        <w:tc>
          <w:tcPr>
            <w:tcW w:w="1426" w:type="dxa"/>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(2)</w:t>
            </w:r>
          </w:p>
        </w:tc>
      </w:tr>
      <w:tr>
        <w:trPr>
          <w:trHeight w:val="234"/>
        </w:trPr>
        <w:tc>
          <w:tcPr>
            <w:tcW w:w="10513" w:type="dxa"/>
            <w:gridSpan w:val="3"/>
            <w:tcBorders>
              <w:top w:val="nil"/>
              <w:left w:val="single" w:sz="8" w:space="0" w:color="000000"/>
              <w:bottom w:val="nil"/>
              <w:right w:val="nil"/>
            </w:tcBorders>
          </w:tcPr>
          <w:p>
            <w:pPr>
              <w:rPr>
                <w:rFonts w:cs="Arial"/>
                <w:bCs/>
                <w:color w:val="000000"/>
                <w:sz w:val="20"/>
              </w:rPr>
            </w:pPr>
            <w:r>
              <w:rPr>
                <w:rFonts w:cs="Arial"/>
                <w:bCs/>
                <w:color w:val="000000"/>
                <w:sz w:val="20"/>
              </w:rPr>
              <w:t>Gerais e administrativas</w:t>
            </w:r>
          </w:p>
        </w:tc>
        <w:tc>
          <w:tcPr>
            <w:tcW w:w="446" w:type="dxa"/>
            <w:tcBorders>
              <w:top w:val="nil"/>
              <w:left w:val="nil"/>
              <w:bottom w:val="nil"/>
              <w:right w:val="nil"/>
            </w:tcBorders>
          </w:tcPr>
          <w:p>
            <w:pPr>
              <w:jc w:val="center"/>
              <w:rPr>
                <w:rFonts w:cs="Arial"/>
                <w:bCs/>
                <w:color w:val="000000"/>
                <w:sz w:val="20"/>
              </w:rPr>
            </w:pPr>
            <w:hyperlink w:anchor="_24.3._Despesas_Gerais_1" w:history="1">
              <w:r>
                <w:rPr>
                  <w:rStyle w:val="Hyperlink"/>
                  <w:rFonts w:cs="Arial"/>
                  <w:bCs/>
                  <w:sz w:val="20"/>
                </w:rPr>
                <w:t>24.3</w:t>
              </w:r>
            </w:hyperlink>
          </w:p>
        </w:tc>
        <w:tc>
          <w:tcPr>
            <w:tcW w:w="446" w:type="dxa"/>
            <w:gridSpan w:val="3"/>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074" w:type="dxa"/>
            <w:tcBorders>
              <w:top w:val="nil"/>
              <w:left w:val="nil"/>
              <w:bottom w:val="nil"/>
              <w:right w:val="nil"/>
            </w:tcBorders>
            <w:vAlign w:val="bottom"/>
          </w:tcPr>
          <w:p>
            <w:pPr>
              <w:jc w:val="right"/>
              <w:rPr>
                <w:rFonts w:cs="Arial"/>
                <w:bCs/>
                <w:color w:val="000000"/>
                <w:sz w:val="20"/>
              </w:rPr>
            </w:pPr>
            <w:r>
              <w:rPr>
                <w:rFonts w:cs="Arial"/>
                <w:bCs/>
                <w:color w:val="000000"/>
                <w:sz w:val="20"/>
              </w:rPr>
              <w:t>(15.247)</w:t>
            </w:r>
          </w:p>
        </w:tc>
        <w:tc>
          <w:tcPr>
            <w:tcW w:w="543" w:type="dxa"/>
            <w:gridSpan w:val="2"/>
            <w:tcBorders>
              <w:top w:val="nil"/>
              <w:left w:val="nil"/>
              <w:bottom w:val="nil"/>
              <w:right w:val="nil"/>
            </w:tcBorders>
            <w:vAlign w:val="bottom"/>
          </w:tcPr>
          <w:p>
            <w:pPr>
              <w:rPr>
                <w:rFonts w:cs="Arial"/>
                <w:bCs/>
                <w:color w:val="000000"/>
                <w:sz w:val="20"/>
              </w:rPr>
            </w:pPr>
          </w:p>
        </w:tc>
        <w:tc>
          <w:tcPr>
            <w:tcW w:w="1426" w:type="dxa"/>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(13.491)</w:t>
            </w:r>
          </w:p>
        </w:tc>
        <w:tc>
          <w:tcPr>
            <w:tcW w:w="543" w:type="dxa"/>
            <w:gridSpan w:val="2"/>
            <w:vAlign w:val="bottom"/>
          </w:tcPr>
          <w:p>
            <w:pPr>
              <w:rPr>
                <w:rFonts w:cs="Arial"/>
                <w:bCs/>
                <w:color w:val="000000"/>
                <w:sz w:val="20"/>
              </w:rPr>
            </w:pPr>
          </w:p>
        </w:tc>
      </w:tr>
      <w:tr>
        <w:trPr>
          <w:gridAfter w:val="2"/>
          <w:wAfter w:w="543" w:type="dxa"/>
          <w:trHeight w:val="234"/>
        </w:trPr>
        <w:tc>
          <w:tcPr>
            <w:tcW w:w="9969" w:type="dxa"/>
            <w:tcBorders>
              <w:top w:val="nil"/>
              <w:left w:val="single" w:sz="8" w:space="0" w:color="000000"/>
              <w:bottom w:val="nil"/>
              <w:right w:val="nil"/>
            </w:tcBorders>
          </w:tcPr>
          <w:p>
            <w:pPr>
              <w:tabs>
                <w:tab w:val="right" w:pos="5099"/>
              </w:tabs>
              <w:rPr>
                <w:rFonts w:cs="Arial"/>
                <w:bCs/>
                <w:color w:val="000000"/>
                <w:sz w:val="20"/>
              </w:rPr>
            </w:pPr>
            <w:r>
              <w:rPr>
                <w:rFonts w:cs="Arial"/>
                <w:bCs/>
                <w:color w:val="000000"/>
                <w:sz w:val="20"/>
              </w:rPr>
              <w:t>Honorários da administração</w:t>
            </w:r>
          </w:p>
        </w:tc>
        <w:tc>
          <w:tcPr>
            <w:tcW w:w="544" w:type="dxa"/>
            <w:gridSpan w:val="2"/>
            <w:tcBorders>
              <w:top w:val="nil"/>
              <w:left w:val="nil"/>
              <w:bottom w:val="nil"/>
              <w:right w:val="nil"/>
            </w:tcBorders>
          </w:tcPr>
          <w:p>
            <w:pPr>
              <w:tabs>
                <w:tab w:val="right" w:pos="5099"/>
              </w:tabs>
              <w:jc w:val="right"/>
              <w:rPr>
                <w:rFonts w:cs="Arial"/>
                <w:bCs/>
                <w:color w:val="000000"/>
                <w:sz w:val="20"/>
              </w:rPr>
            </w:pPr>
          </w:p>
        </w:tc>
        <w:tc>
          <w:tcPr>
            <w:tcW w:w="446" w:type="dxa"/>
            <w:tcBorders>
              <w:top w:val="nil"/>
              <w:left w:val="nil"/>
              <w:bottom w:val="nil"/>
              <w:right w:val="nil"/>
            </w:tcBorders>
          </w:tcPr>
          <w:p>
            <w:pPr>
              <w:jc w:val="center"/>
              <w:rPr>
                <w:rFonts w:cs="Arial"/>
                <w:bCs/>
                <w:color w:val="000000"/>
                <w:sz w:val="20"/>
              </w:rPr>
            </w:pPr>
          </w:p>
        </w:tc>
        <w:tc>
          <w:tcPr>
            <w:tcW w:w="121" w:type="dxa"/>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399" w:type="dxa"/>
            <w:gridSpan w:val="3"/>
            <w:tcBorders>
              <w:top w:val="nil"/>
              <w:left w:val="nil"/>
              <w:bottom w:val="nil"/>
              <w:right w:val="nil"/>
            </w:tcBorders>
            <w:vAlign w:val="bottom"/>
          </w:tcPr>
          <w:p>
            <w:pPr>
              <w:jc w:val="right"/>
              <w:rPr>
                <w:rFonts w:cs="Arial"/>
                <w:bCs/>
                <w:color w:val="000000"/>
                <w:sz w:val="20"/>
              </w:rPr>
            </w:pPr>
            <w:r>
              <w:rPr>
                <w:rFonts w:cs="Arial"/>
                <w:bCs/>
                <w:color w:val="000000"/>
                <w:sz w:val="20"/>
              </w:rPr>
              <w:t>(250)</w:t>
            </w:r>
          </w:p>
        </w:tc>
        <w:tc>
          <w:tcPr>
            <w:tcW w:w="217" w:type="dxa"/>
            <w:tcBorders>
              <w:top w:val="nil"/>
              <w:left w:val="nil"/>
              <w:bottom w:val="nil"/>
              <w:right w:val="nil"/>
            </w:tcBorders>
            <w:vAlign w:val="bottom"/>
          </w:tcPr>
          <w:p>
            <w:pPr>
              <w:rPr>
                <w:rFonts w:cs="Arial"/>
                <w:bCs/>
                <w:color w:val="000000"/>
                <w:sz w:val="20"/>
              </w:rPr>
            </w:pPr>
          </w:p>
        </w:tc>
        <w:tc>
          <w:tcPr>
            <w:tcW w:w="1752" w:type="dxa"/>
            <w:gridSpan w:val="2"/>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(273)</w:t>
            </w:r>
          </w:p>
        </w:tc>
      </w:tr>
      <w:tr>
        <w:trPr>
          <w:gridAfter w:val="2"/>
          <w:wAfter w:w="543" w:type="dxa"/>
          <w:trHeight w:val="234"/>
        </w:trPr>
        <w:tc>
          <w:tcPr>
            <w:tcW w:w="9969" w:type="dxa"/>
            <w:tcBorders>
              <w:top w:val="nil"/>
              <w:left w:val="single" w:sz="8" w:space="0" w:color="000000"/>
              <w:bottom w:val="nil"/>
              <w:right w:val="nil"/>
            </w:tcBorders>
          </w:tcPr>
          <w:p>
            <w:pPr>
              <w:tabs>
                <w:tab w:val="right" w:pos="5099"/>
              </w:tabs>
              <w:rPr>
                <w:rFonts w:cs="Arial"/>
                <w:bCs/>
                <w:color w:val="000000"/>
                <w:sz w:val="20"/>
              </w:rPr>
            </w:pPr>
            <w:r>
              <w:rPr>
                <w:rFonts w:cs="Arial"/>
                <w:bCs/>
                <w:color w:val="000000"/>
                <w:sz w:val="20"/>
              </w:rPr>
              <w:t>Outras despesas operacionais</w:t>
            </w:r>
          </w:p>
        </w:tc>
        <w:tc>
          <w:tcPr>
            <w:tcW w:w="544" w:type="dxa"/>
            <w:gridSpan w:val="2"/>
            <w:tcBorders>
              <w:top w:val="nil"/>
              <w:left w:val="nil"/>
              <w:bottom w:val="nil"/>
              <w:right w:val="nil"/>
            </w:tcBorders>
          </w:tcPr>
          <w:p>
            <w:pPr>
              <w:tabs>
                <w:tab w:val="right" w:pos="5099"/>
              </w:tabs>
              <w:jc w:val="right"/>
              <w:rPr>
                <w:rFonts w:cs="Arial"/>
                <w:bCs/>
                <w:color w:val="000000"/>
                <w:sz w:val="20"/>
              </w:rPr>
            </w:pPr>
          </w:p>
        </w:tc>
        <w:tc>
          <w:tcPr>
            <w:tcW w:w="446" w:type="dxa"/>
            <w:tcBorders>
              <w:top w:val="nil"/>
              <w:left w:val="nil"/>
              <w:bottom w:val="nil"/>
              <w:right w:val="nil"/>
            </w:tcBorders>
          </w:tcPr>
          <w:p>
            <w:pPr>
              <w:jc w:val="center"/>
              <w:rPr>
                <w:rFonts w:cs="Arial"/>
                <w:bCs/>
                <w:color w:val="000000"/>
                <w:sz w:val="20"/>
              </w:rPr>
            </w:pPr>
          </w:p>
        </w:tc>
        <w:tc>
          <w:tcPr>
            <w:tcW w:w="121" w:type="dxa"/>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399" w:type="dxa"/>
            <w:gridSpan w:val="3"/>
            <w:tcBorders>
              <w:top w:val="nil"/>
              <w:left w:val="nil"/>
              <w:bottom w:val="nil"/>
              <w:right w:val="nil"/>
            </w:tcBorders>
            <w:vAlign w:val="bottom"/>
          </w:tcPr>
          <w:p>
            <w:pPr>
              <w:jc w:val="right"/>
              <w:rPr>
                <w:rFonts w:cs="Arial"/>
                <w:bCs/>
                <w:color w:val="000000"/>
                <w:sz w:val="20"/>
              </w:rPr>
            </w:pPr>
            <w:r>
              <w:rPr>
                <w:rFonts w:cs="Arial"/>
                <w:bCs/>
                <w:color w:val="000000"/>
                <w:sz w:val="20"/>
              </w:rPr>
              <w:t>(1)</w:t>
            </w:r>
          </w:p>
        </w:tc>
        <w:tc>
          <w:tcPr>
            <w:tcW w:w="217" w:type="dxa"/>
            <w:tcBorders>
              <w:top w:val="nil"/>
              <w:left w:val="nil"/>
              <w:bottom w:val="nil"/>
              <w:right w:val="nil"/>
            </w:tcBorders>
            <w:vAlign w:val="bottom"/>
          </w:tcPr>
          <w:p>
            <w:pPr>
              <w:rPr>
                <w:rFonts w:cs="Arial"/>
                <w:bCs/>
                <w:color w:val="000000"/>
                <w:sz w:val="20"/>
              </w:rPr>
            </w:pPr>
          </w:p>
        </w:tc>
        <w:tc>
          <w:tcPr>
            <w:tcW w:w="1752" w:type="dxa"/>
            <w:gridSpan w:val="2"/>
            <w:tcBorders>
              <w:top w:val="nil"/>
              <w:left w:val="nil"/>
              <w:bottom w:val="nil"/>
              <w:right w:val="single" w:sz="8" w:space="0" w:color="000000"/>
            </w:tcBorders>
            <w:vAlign w:val="bottom"/>
          </w:tcPr>
          <w:p>
            <w:pPr>
              <w:jc w:val="right"/>
              <w:rPr>
                <w:rFonts w:cs="Arial"/>
                <w:bCs/>
                <w:color w:val="000000"/>
                <w:sz w:val="20"/>
              </w:rPr>
            </w:pPr>
          </w:p>
        </w:tc>
      </w:tr>
      <w:tr>
        <w:trPr>
          <w:gridAfter w:val="2"/>
          <w:wAfter w:w="543" w:type="dxa"/>
          <w:trHeight w:val="234"/>
        </w:trPr>
        <w:tc>
          <w:tcPr>
            <w:tcW w:w="10513" w:type="dxa"/>
            <w:gridSpan w:val="3"/>
            <w:tcBorders>
              <w:top w:val="nil"/>
              <w:left w:val="single" w:sz="8" w:space="0" w:color="000000"/>
              <w:bottom w:val="nil"/>
              <w:right w:val="nil"/>
            </w:tcBorders>
          </w:tcPr>
          <w:p>
            <w:pPr>
              <w:rPr>
                <w:rFonts w:cs="Arial"/>
                <w:bCs/>
                <w:color w:val="000000"/>
                <w:sz w:val="20"/>
              </w:rPr>
            </w:pPr>
            <w:r>
              <w:rPr>
                <w:rFonts w:cs="Arial"/>
                <w:bCs/>
                <w:color w:val="000000"/>
                <w:sz w:val="20"/>
              </w:rPr>
              <w:t>Outras receitas operacionais</w:t>
            </w:r>
          </w:p>
        </w:tc>
        <w:tc>
          <w:tcPr>
            <w:tcW w:w="446" w:type="dxa"/>
            <w:tcBorders>
              <w:top w:val="nil"/>
              <w:left w:val="nil"/>
              <w:bottom w:val="nil"/>
              <w:right w:val="nil"/>
            </w:tcBorders>
          </w:tcPr>
          <w:p>
            <w:pPr>
              <w:jc w:val="center"/>
              <w:rPr>
                <w:rFonts w:cs="Arial"/>
                <w:bCs/>
                <w:color w:val="000000"/>
                <w:sz w:val="20"/>
              </w:rPr>
            </w:pPr>
            <w:hyperlink w:anchor="_24.4._Outras_Receitas" w:history="1">
              <w:r>
                <w:rPr>
                  <w:rStyle w:val="Hyperlink"/>
                  <w:rFonts w:cs="Arial"/>
                  <w:bCs/>
                  <w:sz w:val="20"/>
                </w:rPr>
                <w:t>24.4</w:t>
              </w:r>
            </w:hyperlink>
          </w:p>
        </w:tc>
        <w:tc>
          <w:tcPr>
            <w:tcW w:w="446" w:type="dxa"/>
            <w:gridSpan w:val="3"/>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074" w:type="dxa"/>
            <w:tcBorders>
              <w:top w:val="nil"/>
              <w:left w:val="nil"/>
              <w:bottom w:val="single" w:sz="4" w:space="0" w:color="auto"/>
              <w:right w:val="nil"/>
            </w:tcBorders>
            <w:vAlign w:val="bottom"/>
          </w:tcPr>
          <w:p>
            <w:pPr>
              <w:jc w:val="right"/>
              <w:rPr>
                <w:rFonts w:cs="Arial"/>
                <w:bCs/>
                <w:color w:val="000000"/>
                <w:sz w:val="20"/>
              </w:rPr>
            </w:pPr>
            <w:r>
              <w:rPr>
                <w:rFonts w:cs="Arial"/>
                <w:bCs/>
                <w:color w:val="000000"/>
                <w:sz w:val="20"/>
              </w:rPr>
              <w:t>131</w:t>
            </w:r>
          </w:p>
        </w:tc>
        <w:tc>
          <w:tcPr>
            <w:tcW w:w="543" w:type="dxa"/>
            <w:gridSpan w:val="2"/>
            <w:tcBorders>
              <w:top w:val="nil"/>
              <w:left w:val="nil"/>
              <w:bottom w:val="nil"/>
              <w:right w:val="nil"/>
            </w:tcBorders>
            <w:vAlign w:val="bottom"/>
          </w:tcPr>
          <w:p>
            <w:pPr>
              <w:rPr>
                <w:rFonts w:cs="Arial"/>
                <w:bCs/>
                <w:color w:val="000000"/>
                <w:sz w:val="20"/>
              </w:rPr>
            </w:pPr>
          </w:p>
        </w:tc>
        <w:tc>
          <w:tcPr>
            <w:tcW w:w="1426" w:type="dxa"/>
            <w:tcBorders>
              <w:top w:val="nil"/>
              <w:left w:val="nil"/>
              <w:bottom w:val="single" w:sz="8" w:space="0" w:color="000000"/>
              <w:right w:val="single" w:sz="8" w:space="0" w:color="000000"/>
            </w:tcBorders>
            <w:vAlign w:val="bottom"/>
          </w:tcPr>
          <w:p>
            <w:pPr>
              <w:jc w:val="right"/>
              <w:rPr>
                <w:rFonts w:cs="Arial"/>
                <w:bCs/>
                <w:color w:val="000000"/>
                <w:sz w:val="20"/>
              </w:rPr>
            </w:pPr>
            <w:r>
              <w:rPr>
                <w:rFonts w:cs="Arial"/>
                <w:bCs/>
                <w:color w:val="000000"/>
                <w:sz w:val="20"/>
              </w:rPr>
              <w:t>158</w:t>
            </w:r>
          </w:p>
        </w:tc>
      </w:tr>
      <w:tr>
        <w:trPr>
          <w:gridAfter w:val="2"/>
          <w:wAfter w:w="543" w:type="dxa"/>
          <w:trHeight w:val="234"/>
        </w:trPr>
        <w:tc>
          <w:tcPr>
            <w:tcW w:w="10513" w:type="dxa"/>
            <w:gridSpan w:val="3"/>
            <w:tcBorders>
              <w:top w:val="nil"/>
              <w:left w:val="single" w:sz="8" w:space="0" w:color="000000"/>
              <w:bottom w:val="nil"/>
              <w:right w:val="nil"/>
            </w:tcBorders>
          </w:tcPr>
          <w:p>
            <w:pPr>
              <w:rPr>
                <w:rFonts w:cs="Arial"/>
                <w:b/>
                <w:bCs/>
                <w:color w:val="000000"/>
                <w:sz w:val="20"/>
              </w:rPr>
            </w:pPr>
            <w:r>
              <w:rPr>
                <w:rFonts w:cs="Arial"/>
                <w:b/>
                <w:bCs/>
                <w:color w:val="000000"/>
                <w:sz w:val="20"/>
              </w:rPr>
              <w:t>RESULTADO ANTES DAS RECEITAS E DESPESAS FINANCEIRAS</w:t>
            </w:r>
          </w:p>
        </w:tc>
        <w:tc>
          <w:tcPr>
            <w:tcW w:w="446" w:type="dxa"/>
            <w:tcBorders>
              <w:top w:val="nil"/>
              <w:left w:val="nil"/>
              <w:bottom w:val="nil"/>
              <w:right w:val="nil"/>
            </w:tcBorders>
          </w:tcPr>
          <w:p>
            <w:pPr>
              <w:jc w:val="center"/>
              <w:rPr>
                <w:rFonts w:cs="Arial"/>
                <w:b/>
                <w:bCs/>
                <w:color w:val="000000"/>
                <w:sz w:val="20"/>
              </w:rPr>
            </w:pPr>
          </w:p>
        </w:tc>
        <w:tc>
          <w:tcPr>
            <w:tcW w:w="446" w:type="dxa"/>
            <w:gridSpan w:val="3"/>
            <w:tcBorders>
              <w:top w:val="nil"/>
              <w:left w:val="nil"/>
              <w:bottom w:val="nil"/>
              <w:right w:val="nil"/>
            </w:tcBorders>
          </w:tcPr>
          <w:p>
            <w:pPr>
              <w:jc w:val="right"/>
              <w:rPr>
                <w:rFonts w:cs="Arial"/>
                <w:b/>
                <w:bCs/>
                <w:color w:val="000000"/>
                <w:sz w:val="20"/>
              </w:rPr>
            </w:pPr>
          </w:p>
        </w:tc>
        <w:tc>
          <w:tcPr>
            <w:tcW w:w="20" w:type="dxa"/>
            <w:tcBorders>
              <w:top w:val="nil"/>
              <w:left w:val="nil"/>
              <w:bottom w:val="nil"/>
              <w:right w:val="nil"/>
            </w:tcBorders>
          </w:tcPr>
          <w:p>
            <w:pPr>
              <w:jc w:val="right"/>
              <w:rPr>
                <w:rFonts w:cs="Arial"/>
                <w:b/>
                <w:bCs/>
                <w:color w:val="000000"/>
                <w:sz w:val="20"/>
              </w:rPr>
            </w:pPr>
          </w:p>
        </w:tc>
        <w:tc>
          <w:tcPr>
            <w:tcW w:w="1074" w:type="dxa"/>
            <w:tcBorders>
              <w:top w:val="single" w:sz="4" w:space="0" w:color="auto"/>
              <w:left w:val="nil"/>
              <w:bottom w:val="nil"/>
              <w:right w:val="nil"/>
            </w:tcBorders>
            <w:vAlign w:val="bottom"/>
          </w:tcPr>
          <w:p>
            <w:pPr>
              <w:jc w:val="right"/>
              <w:rPr>
                <w:rFonts w:cs="Arial"/>
                <w:b/>
                <w:bCs/>
                <w:color w:val="000000"/>
                <w:sz w:val="20"/>
              </w:rPr>
            </w:pPr>
            <w:r>
              <w:rPr>
                <w:rFonts w:cs="Arial"/>
                <w:b/>
                <w:bCs/>
                <w:color w:val="000000"/>
                <w:sz w:val="20"/>
              </w:rPr>
              <w:t>(160)</w:t>
            </w:r>
          </w:p>
        </w:tc>
        <w:tc>
          <w:tcPr>
            <w:tcW w:w="543" w:type="dxa"/>
            <w:gridSpan w:val="2"/>
            <w:tcBorders>
              <w:top w:val="nil"/>
              <w:left w:val="nil"/>
              <w:bottom w:val="nil"/>
              <w:right w:val="nil"/>
            </w:tcBorders>
            <w:vAlign w:val="bottom"/>
          </w:tcPr>
          <w:p>
            <w:pPr>
              <w:rPr>
                <w:rFonts w:cs="Arial"/>
                <w:b/>
                <w:bCs/>
                <w:color w:val="000000"/>
                <w:sz w:val="20"/>
              </w:rPr>
            </w:pPr>
          </w:p>
        </w:tc>
        <w:tc>
          <w:tcPr>
            <w:tcW w:w="1426" w:type="dxa"/>
            <w:tcBorders>
              <w:top w:val="single" w:sz="8" w:space="0" w:color="000000"/>
              <w:left w:val="nil"/>
              <w:bottom w:val="nil"/>
              <w:right w:val="single" w:sz="8" w:space="0" w:color="000000"/>
            </w:tcBorders>
            <w:vAlign w:val="bottom"/>
          </w:tcPr>
          <w:p>
            <w:pPr>
              <w:jc w:val="right"/>
              <w:rPr>
                <w:rFonts w:cs="Arial"/>
                <w:b/>
                <w:bCs/>
                <w:color w:val="000000"/>
                <w:sz w:val="20"/>
              </w:rPr>
            </w:pPr>
            <w:r>
              <w:rPr>
                <w:rFonts w:cs="Arial"/>
                <w:b/>
                <w:bCs/>
                <w:color w:val="000000"/>
                <w:sz w:val="20"/>
              </w:rPr>
              <w:t>(5.433)</w:t>
            </w:r>
          </w:p>
        </w:tc>
      </w:tr>
      <w:tr>
        <w:trPr>
          <w:gridAfter w:val="2"/>
          <w:wAfter w:w="543" w:type="dxa"/>
          <w:trHeight w:val="234"/>
        </w:trPr>
        <w:tc>
          <w:tcPr>
            <w:tcW w:w="10513" w:type="dxa"/>
            <w:gridSpan w:val="3"/>
            <w:tcBorders>
              <w:top w:val="nil"/>
              <w:left w:val="single" w:sz="8" w:space="0" w:color="000000"/>
              <w:bottom w:val="nil"/>
              <w:right w:val="nil"/>
            </w:tcBorders>
          </w:tcPr>
          <w:p>
            <w:pPr>
              <w:tabs>
                <w:tab w:val="right" w:pos="5099"/>
              </w:tabs>
              <w:rPr>
                <w:rFonts w:cs="Arial"/>
                <w:bCs/>
                <w:color w:val="000000"/>
                <w:sz w:val="20"/>
              </w:rPr>
            </w:pPr>
            <w:r>
              <w:rPr>
                <w:rFonts w:cs="Arial"/>
                <w:bCs/>
                <w:color w:val="000000"/>
                <w:sz w:val="20"/>
              </w:rPr>
              <w:t>Despesas financeiras</w:t>
            </w:r>
          </w:p>
        </w:tc>
        <w:tc>
          <w:tcPr>
            <w:tcW w:w="446" w:type="dxa"/>
            <w:tcBorders>
              <w:top w:val="nil"/>
              <w:left w:val="nil"/>
              <w:bottom w:val="nil"/>
              <w:right w:val="nil"/>
            </w:tcBorders>
          </w:tcPr>
          <w:p>
            <w:pPr>
              <w:jc w:val="center"/>
              <w:rPr>
                <w:rFonts w:cs="Arial"/>
                <w:bCs/>
                <w:color w:val="000000"/>
                <w:sz w:val="20"/>
              </w:rPr>
            </w:pPr>
            <w:hyperlink w:anchor="_24.5._Despesas_Financeiras" w:history="1">
              <w:r>
                <w:rPr>
                  <w:rStyle w:val="Hyperlink"/>
                  <w:rFonts w:cs="Arial"/>
                  <w:bCs/>
                  <w:sz w:val="20"/>
                </w:rPr>
                <w:t>24.5</w:t>
              </w:r>
            </w:hyperlink>
          </w:p>
        </w:tc>
        <w:tc>
          <w:tcPr>
            <w:tcW w:w="446" w:type="dxa"/>
            <w:gridSpan w:val="3"/>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074" w:type="dxa"/>
            <w:tcBorders>
              <w:top w:val="nil"/>
              <w:left w:val="nil"/>
              <w:bottom w:val="nil"/>
              <w:right w:val="nil"/>
            </w:tcBorders>
            <w:vAlign w:val="bottom"/>
          </w:tcPr>
          <w:p>
            <w:pPr>
              <w:jc w:val="right"/>
              <w:rPr>
                <w:rFonts w:cs="Arial"/>
                <w:bCs/>
                <w:color w:val="000000"/>
                <w:sz w:val="20"/>
              </w:rPr>
            </w:pPr>
            <w:r>
              <w:rPr>
                <w:rFonts w:cs="Arial"/>
                <w:bCs/>
                <w:color w:val="000000"/>
                <w:sz w:val="20"/>
              </w:rPr>
              <w:t>(6.380)</w:t>
            </w:r>
          </w:p>
        </w:tc>
        <w:tc>
          <w:tcPr>
            <w:tcW w:w="543" w:type="dxa"/>
            <w:gridSpan w:val="2"/>
            <w:tcBorders>
              <w:top w:val="nil"/>
              <w:left w:val="nil"/>
              <w:bottom w:val="nil"/>
              <w:right w:val="nil"/>
            </w:tcBorders>
            <w:vAlign w:val="bottom"/>
          </w:tcPr>
          <w:p>
            <w:pPr>
              <w:rPr>
                <w:rFonts w:cs="Arial"/>
                <w:bCs/>
                <w:color w:val="000000"/>
                <w:sz w:val="20"/>
              </w:rPr>
            </w:pPr>
          </w:p>
        </w:tc>
        <w:tc>
          <w:tcPr>
            <w:tcW w:w="1426" w:type="dxa"/>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(1.026)</w:t>
            </w:r>
          </w:p>
        </w:tc>
      </w:tr>
      <w:tr>
        <w:trPr>
          <w:gridAfter w:val="2"/>
          <w:wAfter w:w="543" w:type="dxa"/>
          <w:trHeight w:val="234"/>
        </w:trPr>
        <w:tc>
          <w:tcPr>
            <w:tcW w:w="10513" w:type="dxa"/>
            <w:gridSpan w:val="3"/>
            <w:tcBorders>
              <w:top w:val="nil"/>
              <w:left w:val="single" w:sz="8" w:space="0" w:color="000000"/>
              <w:bottom w:val="nil"/>
              <w:right w:val="nil"/>
            </w:tcBorders>
          </w:tcPr>
          <w:p>
            <w:pPr>
              <w:rPr>
                <w:rFonts w:cs="Arial"/>
                <w:bCs/>
                <w:color w:val="000000"/>
                <w:sz w:val="20"/>
              </w:rPr>
            </w:pPr>
            <w:r>
              <w:rPr>
                <w:rFonts w:cs="Arial"/>
                <w:bCs/>
                <w:color w:val="000000"/>
                <w:sz w:val="20"/>
              </w:rPr>
              <w:t>Receitas financeiras</w:t>
            </w:r>
          </w:p>
        </w:tc>
        <w:tc>
          <w:tcPr>
            <w:tcW w:w="446" w:type="dxa"/>
            <w:tcBorders>
              <w:top w:val="nil"/>
              <w:left w:val="nil"/>
              <w:bottom w:val="nil"/>
              <w:right w:val="nil"/>
            </w:tcBorders>
          </w:tcPr>
          <w:p>
            <w:pPr>
              <w:jc w:val="center"/>
              <w:rPr>
                <w:rFonts w:cs="Arial"/>
                <w:bCs/>
                <w:color w:val="000000"/>
                <w:sz w:val="20"/>
              </w:rPr>
            </w:pPr>
            <w:hyperlink w:anchor="_24.6._Receitas_Financeiras" w:history="1">
              <w:r>
                <w:rPr>
                  <w:rStyle w:val="Hyperlink"/>
                  <w:rFonts w:cs="Arial"/>
                  <w:bCs/>
                  <w:sz w:val="20"/>
                </w:rPr>
                <w:t>24.6</w:t>
              </w:r>
            </w:hyperlink>
          </w:p>
        </w:tc>
        <w:tc>
          <w:tcPr>
            <w:tcW w:w="446" w:type="dxa"/>
            <w:gridSpan w:val="3"/>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074" w:type="dxa"/>
            <w:tcBorders>
              <w:top w:val="nil"/>
              <w:left w:val="nil"/>
              <w:bottom w:val="nil"/>
              <w:right w:val="nil"/>
            </w:tcBorders>
            <w:vAlign w:val="bottom"/>
          </w:tcPr>
          <w:p>
            <w:pPr>
              <w:jc w:val="right"/>
              <w:rPr>
                <w:rFonts w:cs="Arial"/>
                <w:bCs/>
                <w:color w:val="000000"/>
                <w:sz w:val="20"/>
              </w:rPr>
            </w:pPr>
            <w:r>
              <w:rPr>
                <w:rFonts w:cs="Arial"/>
                <w:bCs/>
                <w:color w:val="000000"/>
                <w:sz w:val="20"/>
              </w:rPr>
              <w:t>623</w:t>
            </w:r>
          </w:p>
        </w:tc>
        <w:tc>
          <w:tcPr>
            <w:tcW w:w="543" w:type="dxa"/>
            <w:gridSpan w:val="2"/>
            <w:tcBorders>
              <w:top w:val="nil"/>
              <w:left w:val="nil"/>
              <w:bottom w:val="nil"/>
              <w:right w:val="nil"/>
            </w:tcBorders>
            <w:vAlign w:val="bottom"/>
          </w:tcPr>
          <w:p>
            <w:pPr>
              <w:rPr>
                <w:rFonts w:cs="Arial"/>
                <w:bCs/>
                <w:color w:val="000000"/>
                <w:sz w:val="20"/>
              </w:rPr>
            </w:pPr>
          </w:p>
        </w:tc>
        <w:tc>
          <w:tcPr>
            <w:tcW w:w="1426" w:type="dxa"/>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733</w:t>
            </w:r>
          </w:p>
        </w:tc>
      </w:tr>
      <w:tr>
        <w:trPr>
          <w:gridAfter w:val="2"/>
          <w:wAfter w:w="543" w:type="dxa"/>
          <w:trHeight w:val="234"/>
        </w:trPr>
        <w:tc>
          <w:tcPr>
            <w:tcW w:w="10513" w:type="dxa"/>
            <w:gridSpan w:val="3"/>
            <w:tcBorders>
              <w:top w:val="nil"/>
              <w:left w:val="single" w:sz="8" w:space="0" w:color="000000"/>
              <w:bottom w:val="nil"/>
              <w:right w:val="nil"/>
            </w:tcBorders>
          </w:tcPr>
          <w:p>
            <w:pPr>
              <w:rPr>
                <w:rFonts w:cs="Arial"/>
                <w:b/>
                <w:bCs/>
                <w:color w:val="000000"/>
                <w:sz w:val="20"/>
              </w:rPr>
            </w:pPr>
            <w:r>
              <w:rPr>
                <w:rFonts w:cs="Arial"/>
                <w:b/>
                <w:bCs/>
                <w:color w:val="000000"/>
                <w:sz w:val="20"/>
              </w:rPr>
              <w:t>RESULTADO FINANCEIRO</w:t>
            </w:r>
          </w:p>
        </w:tc>
        <w:tc>
          <w:tcPr>
            <w:tcW w:w="446" w:type="dxa"/>
            <w:tcBorders>
              <w:left w:val="nil"/>
              <w:right w:val="nil"/>
            </w:tcBorders>
          </w:tcPr>
          <w:p>
            <w:pPr>
              <w:jc w:val="center"/>
              <w:rPr>
                <w:rFonts w:cs="Arial"/>
                <w:b/>
                <w:bCs/>
                <w:color w:val="000000"/>
                <w:sz w:val="20"/>
              </w:rPr>
            </w:pPr>
          </w:p>
        </w:tc>
        <w:tc>
          <w:tcPr>
            <w:tcW w:w="446" w:type="dxa"/>
            <w:gridSpan w:val="3"/>
            <w:tcBorders>
              <w:left w:val="nil"/>
              <w:right w:val="nil"/>
            </w:tcBorders>
          </w:tcPr>
          <w:p>
            <w:pPr>
              <w:jc w:val="right"/>
              <w:rPr>
                <w:rFonts w:cs="Arial"/>
                <w:b/>
                <w:bCs/>
                <w:color w:val="000000"/>
                <w:sz w:val="20"/>
              </w:rPr>
            </w:pPr>
          </w:p>
        </w:tc>
        <w:tc>
          <w:tcPr>
            <w:tcW w:w="20" w:type="dxa"/>
            <w:tcBorders>
              <w:top w:val="single" w:sz="2" w:space="0" w:color="000000"/>
              <w:left w:val="nil"/>
              <w:bottom w:val="single" w:sz="2" w:space="0" w:color="000000"/>
              <w:right w:val="nil"/>
            </w:tcBorders>
          </w:tcPr>
          <w:p>
            <w:pPr>
              <w:jc w:val="right"/>
              <w:rPr>
                <w:rFonts w:cs="Arial"/>
                <w:b/>
                <w:bCs/>
                <w:color w:val="000000"/>
                <w:sz w:val="20"/>
              </w:rPr>
            </w:pPr>
          </w:p>
        </w:tc>
        <w:tc>
          <w:tcPr>
            <w:tcW w:w="1074" w:type="dxa"/>
            <w:tcBorders>
              <w:top w:val="single" w:sz="2" w:space="0" w:color="000000"/>
              <w:left w:val="nil"/>
              <w:bottom w:val="single" w:sz="2" w:space="0" w:color="000000"/>
              <w:right w:val="nil"/>
            </w:tcBorders>
            <w:tcMar>
              <w:top w:w="28" w:type="dxa"/>
              <w:left w:w="28" w:type="dxa"/>
              <w:bottom w:w="28" w:type="dxa"/>
              <w:right w:w="28" w:type="dxa"/>
            </w:tcMar>
            <w:vAlign w:val="bottom"/>
          </w:tcPr>
          <w:p>
            <w:pPr>
              <w:jc w:val="right"/>
              <w:rPr>
                <w:rFonts w:cs="Arial"/>
                <w:b/>
                <w:bCs/>
                <w:color w:val="000000"/>
                <w:sz w:val="20"/>
              </w:rPr>
            </w:pPr>
            <w:r>
              <w:rPr>
                <w:rFonts w:cs="Arial"/>
                <w:b/>
                <w:bCs/>
                <w:color w:val="000000"/>
                <w:sz w:val="20"/>
              </w:rPr>
              <w:t>(5.757)</w:t>
            </w:r>
          </w:p>
        </w:tc>
        <w:tc>
          <w:tcPr>
            <w:tcW w:w="543" w:type="dxa"/>
            <w:gridSpan w:val="2"/>
            <w:tcBorders>
              <w:top w:val="nil"/>
              <w:left w:val="nil"/>
              <w:bottom w:val="nil"/>
              <w:right w:val="nil"/>
            </w:tcBorders>
            <w:vAlign w:val="bottom"/>
          </w:tcPr>
          <w:p>
            <w:pPr>
              <w:rPr>
                <w:rFonts w:cs="Arial"/>
                <w:b/>
                <w:bCs/>
                <w:color w:val="000000"/>
                <w:sz w:val="20"/>
              </w:rPr>
            </w:pPr>
          </w:p>
        </w:tc>
        <w:tc>
          <w:tcPr>
            <w:tcW w:w="1426" w:type="dxa"/>
            <w:tcBorders>
              <w:top w:val="single" w:sz="2" w:space="0" w:color="000000"/>
              <w:left w:val="nil"/>
              <w:bottom w:val="single" w:sz="2" w:space="0" w:color="000000"/>
              <w:right w:val="single" w:sz="8" w:space="0" w:color="000000"/>
            </w:tcBorders>
            <w:vAlign w:val="bottom"/>
          </w:tcPr>
          <w:p>
            <w:pPr>
              <w:jc w:val="right"/>
              <w:rPr>
                <w:rFonts w:cs="Arial"/>
                <w:b/>
                <w:bCs/>
                <w:color w:val="000000"/>
                <w:sz w:val="20"/>
              </w:rPr>
            </w:pPr>
            <w:r>
              <w:rPr>
                <w:rFonts w:cs="Arial"/>
                <w:b/>
                <w:bCs/>
                <w:color w:val="000000"/>
                <w:sz w:val="20"/>
              </w:rPr>
              <w:t>(293)</w:t>
            </w:r>
          </w:p>
        </w:tc>
      </w:tr>
      <w:tr>
        <w:trPr>
          <w:gridAfter w:val="2"/>
          <w:wAfter w:w="543" w:type="dxa"/>
          <w:trHeight w:val="234"/>
        </w:trPr>
        <w:tc>
          <w:tcPr>
            <w:tcW w:w="10513" w:type="dxa"/>
            <w:gridSpan w:val="3"/>
            <w:tcBorders>
              <w:top w:val="nil"/>
              <w:left w:val="single" w:sz="8" w:space="0" w:color="000000"/>
              <w:bottom w:val="nil"/>
              <w:right w:val="nil"/>
            </w:tcBorders>
          </w:tcPr>
          <w:p>
            <w:pPr>
              <w:rPr>
                <w:rFonts w:cs="Arial"/>
                <w:b/>
                <w:bCs/>
                <w:color w:val="000000"/>
                <w:sz w:val="20"/>
              </w:rPr>
            </w:pPr>
            <w:r>
              <w:rPr>
                <w:rFonts w:cs="Arial"/>
                <w:b/>
                <w:bCs/>
                <w:color w:val="000000"/>
                <w:sz w:val="20"/>
              </w:rPr>
              <w:t>RESULTADO ANTES DOS TRIBUTOS SOBRE O LUCRO</w:t>
            </w:r>
          </w:p>
        </w:tc>
        <w:tc>
          <w:tcPr>
            <w:tcW w:w="446" w:type="dxa"/>
            <w:tcBorders>
              <w:top w:val="nil"/>
              <w:left w:val="nil"/>
              <w:bottom w:val="nil"/>
              <w:right w:val="nil"/>
            </w:tcBorders>
          </w:tcPr>
          <w:p>
            <w:pPr>
              <w:jc w:val="center"/>
              <w:rPr>
                <w:rFonts w:cs="Arial"/>
                <w:b/>
                <w:bCs/>
                <w:color w:val="000000"/>
                <w:sz w:val="20"/>
              </w:rPr>
            </w:pPr>
          </w:p>
        </w:tc>
        <w:tc>
          <w:tcPr>
            <w:tcW w:w="446" w:type="dxa"/>
            <w:gridSpan w:val="3"/>
            <w:tcBorders>
              <w:top w:val="nil"/>
              <w:left w:val="nil"/>
              <w:bottom w:val="nil"/>
              <w:right w:val="nil"/>
            </w:tcBorders>
          </w:tcPr>
          <w:p>
            <w:pPr>
              <w:jc w:val="right"/>
              <w:rPr>
                <w:rFonts w:cs="Arial"/>
                <w:b/>
                <w:bCs/>
                <w:color w:val="000000"/>
                <w:sz w:val="20"/>
              </w:rPr>
            </w:pPr>
          </w:p>
        </w:tc>
        <w:tc>
          <w:tcPr>
            <w:tcW w:w="20" w:type="dxa"/>
            <w:tcBorders>
              <w:top w:val="nil"/>
              <w:left w:val="nil"/>
              <w:bottom w:val="nil"/>
              <w:right w:val="nil"/>
            </w:tcBorders>
          </w:tcPr>
          <w:p>
            <w:pPr>
              <w:jc w:val="right"/>
              <w:rPr>
                <w:rFonts w:cs="Arial"/>
                <w:b/>
                <w:bCs/>
                <w:color w:val="000000"/>
                <w:sz w:val="20"/>
              </w:rPr>
            </w:pPr>
          </w:p>
        </w:tc>
        <w:tc>
          <w:tcPr>
            <w:tcW w:w="1074" w:type="dxa"/>
            <w:tcBorders>
              <w:top w:val="nil"/>
              <w:left w:val="nil"/>
              <w:bottom w:val="nil"/>
              <w:right w:val="nil"/>
            </w:tcBorders>
            <w:vAlign w:val="bottom"/>
          </w:tcPr>
          <w:p>
            <w:pPr>
              <w:jc w:val="right"/>
              <w:rPr>
                <w:rFonts w:cs="Arial"/>
                <w:b/>
                <w:bCs/>
                <w:color w:val="000000"/>
                <w:sz w:val="20"/>
              </w:rPr>
            </w:pPr>
            <w:r>
              <w:rPr>
                <w:rFonts w:cs="Arial"/>
                <w:b/>
                <w:bCs/>
                <w:color w:val="000000"/>
                <w:sz w:val="20"/>
              </w:rPr>
              <w:t>(5.917)</w:t>
            </w:r>
          </w:p>
        </w:tc>
        <w:tc>
          <w:tcPr>
            <w:tcW w:w="543" w:type="dxa"/>
            <w:gridSpan w:val="2"/>
            <w:tcBorders>
              <w:top w:val="nil"/>
              <w:left w:val="nil"/>
              <w:bottom w:val="nil"/>
              <w:right w:val="nil"/>
            </w:tcBorders>
            <w:vAlign w:val="bottom"/>
          </w:tcPr>
          <w:p>
            <w:pPr>
              <w:rPr>
                <w:rFonts w:cs="Arial"/>
                <w:b/>
                <w:bCs/>
                <w:color w:val="000000"/>
                <w:sz w:val="20"/>
              </w:rPr>
            </w:pPr>
          </w:p>
        </w:tc>
        <w:tc>
          <w:tcPr>
            <w:tcW w:w="1426" w:type="dxa"/>
            <w:tcBorders>
              <w:top w:val="nil"/>
              <w:left w:val="nil"/>
              <w:bottom w:val="nil"/>
              <w:right w:val="single" w:sz="8" w:space="0" w:color="000000"/>
            </w:tcBorders>
            <w:vAlign w:val="bottom"/>
          </w:tcPr>
          <w:p>
            <w:pPr>
              <w:jc w:val="right"/>
              <w:rPr>
                <w:rFonts w:cs="Arial"/>
                <w:b/>
                <w:bCs/>
                <w:color w:val="000000"/>
                <w:sz w:val="20"/>
              </w:rPr>
            </w:pPr>
            <w:r>
              <w:rPr>
                <w:rFonts w:cs="Arial"/>
                <w:b/>
                <w:bCs/>
                <w:color w:val="000000"/>
                <w:sz w:val="20"/>
              </w:rPr>
              <w:t>(5.726)</w:t>
            </w:r>
          </w:p>
        </w:tc>
      </w:tr>
      <w:tr>
        <w:trPr>
          <w:gridAfter w:val="2"/>
          <w:wAfter w:w="543" w:type="dxa"/>
          <w:trHeight w:val="234"/>
        </w:trPr>
        <w:tc>
          <w:tcPr>
            <w:tcW w:w="9969" w:type="dxa"/>
            <w:tcBorders>
              <w:top w:val="nil"/>
              <w:left w:val="single" w:sz="8" w:space="0" w:color="000000"/>
              <w:bottom w:val="nil"/>
              <w:right w:val="nil"/>
            </w:tcBorders>
          </w:tcPr>
          <w:p>
            <w:pPr>
              <w:tabs>
                <w:tab w:val="right" w:pos="5099"/>
              </w:tabs>
              <w:rPr>
                <w:rFonts w:cs="Arial"/>
                <w:bCs/>
                <w:color w:val="000000"/>
                <w:sz w:val="20"/>
              </w:rPr>
            </w:pPr>
            <w:r>
              <w:rPr>
                <w:rFonts w:cs="Arial"/>
                <w:bCs/>
                <w:color w:val="000000"/>
                <w:sz w:val="20"/>
              </w:rPr>
              <w:t>Contribuição social</w:t>
            </w:r>
          </w:p>
        </w:tc>
        <w:tc>
          <w:tcPr>
            <w:tcW w:w="544" w:type="dxa"/>
            <w:gridSpan w:val="2"/>
            <w:tcBorders>
              <w:top w:val="nil"/>
              <w:left w:val="nil"/>
              <w:bottom w:val="nil"/>
              <w:right w:val="nil"/>
            </w:tcBorders>
          </w:tcPr>
          <w:p>
            <w:pPr>
              <w:tabs>
                <w:tab w:val="right" w:pos="5099"/>
              </w:tabs>
              <w:jc w:val="right"/>
              <w:rPr>
                <w:rFonts w:cs="Arial"/>
                <w:bCs/>
                <w:color w:val="000000"/>
                <w:sz w:val="20"/>
              </w:rPr>
            </w:pPr>
          </w:p>
        </w:tc>
        <w:tc>
          <w:tcPr>
            <w:tcW w:w="446" w:type="dxa"/>
            <w:tcBorders>
              <w:top w:val="nil"/>
              <w:left w:val="nil"/>
              <w:bottom w:val="nil"/>
              <w:right w:val="nil"/>
            </w:tcBorders>
          </w:tcPr>
          <w:p>
            <w:pPr>
              <w:jc w:val="center"/>
              <w:rPr>
                <w:rFonts w:cs="Arial"/>
                <w:bCs/>
                <w:color w:val="000000"/>
                <w:sz w:val="20"/>
              </w:rPr>
            </w:pPr>
            <w:hyperlink w:anchor="_30._IMPOSTO_DE" w:history="1">
              <w:r>
                <w:rPr>
                  <w:rStyle w:val="Hyperlink"/>
                  <w:rFonts w:cs="Arial"/>
                  <w:bCs/>
                  <w:sz w:val="20"/>
                </w:rPr>
                <w:t>30</w:t>
              </w:r>
            </w:hyperlink>
          </w:p>
        </w:tc>
        <w:tc>
          <w:tcPr>
            <w:tcW w:w="121" w:type="dxa"/>
            <w:tcBorders>
              <w:top w:val="nil"/>
              <w:left w:val="nil"/>
              <w:bottom w:val="nil"/>
              <w:right w:val="nil"/>
            </w:tcBorders>
          </w:tcPr>
          <w:p>
            <w:pPr>
              <w:jc w:val="right"/>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399" w:type="dxa"/>
            <w:gridSpan w:val="3"/>
            <w:tcBorders>
              <w:top w:val="nil"/>
              <w:left w:val="nil"/>
              <w:bottom w:val="nil"/>
              <w:right w:val="nil"/>
            </w:tcBorders>
            <w:vAlign w:val="bottom"/>
          </w:tcPr>
          <w:p>
            <w:pPr>
              <w:jc w:val="right"/>
              <w:rPr>
                <w:rFonts w:cs="Arial"/>
                <w:bCs/>
                <w:color w:val="000000"/>
                <w:sz w:val="20"/>
              </w:rPr>
            </w:pPr>
            <w:r>
              <w:rPr>
                <w:rFonts w:cs="Arial"/>
                <w:bCs/>
                <w:color w:val="000000"/>
                <w:sz w:val="20"/>
              </w:rPr>
              <w:t>-</w:t>
            </w:r>
          </w:p>
        </w:tc>
        <w:tc>
          <w:tcPr>
            <w:tcW w:w="217" w:type="dxa"/>
            <w:tcBorders>
              <w:top w:val="nil"/>
              <w:left w:val="nil"/>
              <w:bottom w:val="nil"/>
              <w:right w:val="nil"/>
            </w:tcBorders>
            <w:vAlign w:val="bottom"/>
          </w:tcPr>
          <w:p>
            <w:pPr>
              <w:rPr>
                <w:rFonts w:cs="Arial"/>
                <w:bCs/>
                <w:color w:val="000000"/>
                <w:sz w:val="20"/>
              </w:rPr>
            </w:pPr>
          </w:p>
        </w:tc>
        <w:tc>
          <w:tcPr>
            <w:tcW w:w="1752" w:type="dxa"/>
            <w:gridSpan w:val="2"/>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w:t>
            </w:r>
          </w:p>
        </w:tc>
      </w:tr>
      <w:tr>
        <w:trPr>
          <w:gridAfter w:val="2"/>
          <w:wAfter w:w="543" w:type="dxa"/>
          <w:trHeight w:val="234"/>
        </w:trPr>
        <w:tc>
          <w:tcPr>
            <w:tcW w:w="9969" w:type="dxa"/>
            <w:tcBorders>
              <w:top w:val="nil"/>
              <w:left w:val="single" w:sz="8" w:space="0" w:color="000000"/>
              <w:bottom w:val="nil"/>
              <w:right w:val="nil"/>
            </w:tcBorders>
          </w:tcPr>
          <w:p>
            <w:pPr>
              <w:tabs>
                <w:tab w:val="right" w:pos="5099"/>
              </w:tabs>
              <w:rPr>
                <w:rFonts w:cs="Arial"/>
                <w:bCs/>
                <w:color w:val="000000"/>
                <w:sz w:val="20"/>
              </w:rPr>
            </w:pPr>
            <w:r>
              <w:rPr>
                <w:rFonts w:cs="Arial"/>
                <w:bCs/>
                <w:color w:val="000000"/>
                <w:sz w:val="20"/>
              </w:rPr>
              <w:t>Imposto de renda</w:t>
            </w:r>
          </w:p>
        </w:tc>
        <w:tc>
          <w:tcPr>
            <w:tcW w:w="544" w:type="dxa"/>
            <w:gridSpan w:val="2"/>
            <w:tcBorders>
              <w:top w:val="nil"/>
              <w:left w:val="nil"/>
              <w:bottom w:val="nil"/>
              <w:right w:val="nil"/>
            </w:tcBorders>
          </w:tcPr>
          <w:p>
            <w:pPr>
              <w:tabs>
                <w:tab w:val="right" w:pos="5099"/>
              </w:tabs>
              <w:jc w:val="right"/>
              <w:rPr>
                <w:rFonts w:cs="Arial"/>
                <w:bCs/>
                <w:color w:val="000000"/>
                <w:sz w:val="20"/>
              </w:rPr>
            </w:pPr>
          </w:p>
        </w:tc>
        <w:tc>
          <w:tcPr>
            <w:tcW w:w="446" w:type="dxa"/>
            <w:tcBorders>
              <w:top w:val="nil"/>
              <w:left w:val="nil"/>
              <w:bottom w:val="nil"/>
              <w:right w:val="nil"/>
            </w:tcBorders>
          </w:tcPr>
          <w:p>
            <w:pPr>
              <w:jc w:val="center"/>
              <w:rPr>
                <w:rFonts w:cs="Arial"/>
                <w:bCs/>
                <w:color w:val="000000"/>
                <w:sz w:val="20"/>
              </w:rPr>
            </w:pPr>
            <w:hyperlink w:anchor="_30._IMPOSTO_DE" w:history="1">
              <w:r>
                <w:rPr>
                  <w:rStyle w:val="Hyperlink"/>
                  <w:rFonts w:cs="Arial"/>
                  <w:bCs/>
                  <w:sz w:val="20"/>
                </w:rPr>
                <w:t>30</w:t>
              </w:r>
            </w:hyperlink>
          </w:p>
        </w:tc>
        <w:tc>
          <w:tcPr>
            <w:tcW w:w="121" w:type="dxa"/>
            <w:tcBorders>
              <w:top w:val="nil"/>
              <w:left w:val="nil"/>
              <w:bottom w:val="nil"/>
              <w:right w:val="nil"/>
            </w:tcBorders>
          </w:tcPr>
          <w:p>
            <w:pPr>
              <w:rPr>
                <w:rFonts w:cs="Arial"/>
                <w:bCs/>
                <w:color w:val="000000"/>
                <w:sz w:val="20"/>
              </w:rPr>
            </w:pPr>
          </w:p>
        </w:tc>
        <w:tc>
          <w:tcPr>
            <w:tcW w:w="20" w:type="dxa"/>
            <w:tcBorders>
              <w:top w:val="nil"/>
              <w:left w:val="nil"/>
              <w:bottom w:val="nil"/>
              <w:right w:val="nil"/>
            </w:tcBorders>
          </w:tcPr>
          <w:p>
            <w:pPr>
              <w:jc w:val="right"/>
              <w:rPr>
                <w:rFonts w:cs="Arial"/>
                <w:bCs/>
                <w:color w:val="000000"/>
                <w:sz w:val="20"/>
              </w:rPr>
            </w:pPr>
          </w:p>
        </w:tc>
        <w:tc>
          <w:tcPr>
            <w:tcW w:w="1399" w:type="dxa"/>
            <w:gridSpan w:val="3"/>
            <w:tcBorders>
              <w:top w:val="nil"/>
              <w:left w:val="nil"/>
              <w:bottom w:val="nil"/>
              <w:right w:val="nil"/>
            </w:tcBorders>
            <w:vAlign w:val="bottom"/>
          </w:tcPr>
          <w:p>
            <w:pPr>
              <w:jc w:val="right"/>
              <w:rPr>
                <w:rFonts w:cs="Arial"/>
                <w:bCs/>
                <w:color w:val="000000"/>
                <w:sz w:val="20"/>
              </w:rPr>
            </w:pPr>
            <w:r>
              <w:rPr>
                <w:rFonts w:cs="Arial"/>
                <w:bCs/>
                <w:color w:val="000000"/>
                <w:sz w:val="20"/>
              </w:rPr>
              <w:t>-</w:t>
            </w:r>
          </w:p>
        </w:tc>
        <w:tc>
          <w:tcPr>
            <w:tcW w:w="217" w:type="dxa"/>
            <w:tcBorders>
              <w:top w:val="nil"/>
              <w:left w:val="nil"/>
              <w:bottom w:val="nil"/>
              <w:right w:val="nil"/>
            </w:tcBorders>
            <w:vAlign w:val="bottom"/>
          </w:tcPr>
          <w:p>
            <w:pPr>
              <w:rPr>
                <w:rFonts w:cs="Arial"/>
                <w:bCs/>
                <w:color w:val="000000"/>
                <w:sz w:val="20"/>
              </w:rPr>
            </w:pPr>
          </w:p>
        </w:tc>
        <w:tc>
          <w:tcPr>
            <w:tcW w:w="1752" w:type="dxa"/>
            <w:gridSpan w:val="2"/>
            <w:tcBorders>
              <w:top w:val="nil"/>
              <w:left w:val="nil"/>
              <w:bottom w:val="nil"/>
              <w:right w:val="single" w:sz="8" w:space="0" w:color="000000"/>
            </w:tcBorders>
            <w:vAlign w:val="bottom"/>
          </w:tcPr>
          <w:p>
            <w:pPr>
              <w:jc w:val="right"/>
              <w:rPr>
                <w:rFonts w:cs="Arial"/>
                <w:bCs/>
                <w:color w:val="000000"/>
                <w:sz w:val="20"/>
              </w:rPr>
            </w:pPr>
            <w:r>
              <w:rPr>
                <w:rFonts w:cs="Arial"/>
                <w:bCs/>
                <w:color w:val="000000"/>
                <w:sz w:val="20"/>
              </w:rPr>
              <w:t>-</w:t>
            </w:r>
          </w:p>
        </w:tc>
      </w:tr>
      <w:tr>
        <w:trPr>
          <w:gridAfter w:val="2"/>
          <w:wAfter w:w="543" w:type="dxa"/>
          <w:trHeight w:val="234"/>
        </w:trPr>
        <w:tc>
          <w:tcPr>
            <w:tcW w:w="10513" w:type="dxa"/>
            <w:gridSpan w:val="3"/>
            <w:tcBorders>
              <w:top w:val="nil"/>
              <w:left w:val="single" w:sz="8" w:space="0" w:color="000000"/>
              <w:bottom w:val="nil"/>
              <w:right w:val="nil"/>
            </w:tcBorders>
          </w:tcPr>
          <w:p>
            <w:pPr>
              <w:tabs>
                <w:tab w:val="right" w:pos="5099"/>
              </w:tabs>
              <w:spacing w:line="480" w:lineRule="auto"/>
              <w:rPr>
                <w:rFonts w:cs="Arial"/>
                <w:b/>
                <w:bCs/>
                <w:color w:val="000000"/>
                <w:sz w:val="20"/>
              </w:rPr>
            </w:pPr>
            <w:r>
              <w:rPr>
                <w:rFonts w:cs="Arial"/>
                <w:b/>
                <w:bCs/>
                <w:color w:val="000000"/>
                <w:sz w:val="20"/>
              </w:rPr>
              <w:t xml:space="preserve">RESULTADO LÍQUIDO DO PERÍODO                                                    </w:t>
            </w:r>
          </w:p>
        </w:tc>
        <w:tc>
          <w:tcPr>
            <w:tcW w:w="446" w:type="dxa"/>
            <w:tcBorders>
              <w:top w:val="nil"/>
              <w:left w:val="nil"/>
              <w:bottom w:val="nil"/>
              <w:right w:val="nil"/>
            </w:tcBorders>
          </w:tcPr>
          <w:p>
            <w:pPr>
              <w:spacing w:line="480" w:lineRule="auto"/>
              <w:jc w:val="center"/>
              <w:rPr>
                <w:rFonts w:cs="Arial"/>
                <w:b/>
                <w:bCs/>
                <w:color w:val="000000"/>
                <w:sz w:val="20"/>
              </w:rPr>
            </w:pPr>
          </w:p>
        </w:tc>
        <w:tc>
          <w:tcPr>
            <w:tcW w:w="446" w:type="dxa"/>
            <w:gridSpan w:val="3"/>
            <w:tcBorders>
              <w:top w:val="nil"/>
              <w:left w:val="nil"/>
              <w:bottom w:val="nil"/>
              <w:right w:val="nil"/>
            </w:tcBorders>
          </w:tcPr>
          <w:p>
            <w:pPr>
              <w:spacing w:line="480" w:lineRule="auto"/>
              <w:jc w:val="right"/>
              <w:rPr>
                <w:rFonts w:cs="Arial"/>
                <w:b/>
                <w:bCs/>
                <w:color w:val="000000"/>
                <w:sz w:val="20"/>
              </w:rPr>
            </w:pPr>
          </w:p>
        </w:tc>
        <w:tc>
          <w:tcPr>
            <w:tcW w:w="20" w:type="dxa"/>
            <w:tcBorders>
              <w:top w:val="nil"/>
              <w:left w:val="nil"/>
              <w:bottom w:val="nil"/>
              <w:right w:val="nil"/>
            </w:tcBorders>
          </w:tcPr>
          <w:p>
            <w:pPr>
              <w:spacing w:line="480" w:lineRule="auto"/>
              <w:jc w:val="right"/>
              <w:rPr>
                <w:rFonts w:cs="Arial"/>
                <w:b/>
                <w:bCs/>
                <w:color w:val="000000"/>
                <w:sz w:val="20"/>
              </w:rPr>
            </w:pPr>
          </w:p>
        </w:tc>
        <w:tc>
          <w:tcPr>
            <w:tcW w:w="1074" w:type="dxa"/>
            <w:tcBorders>
              <w:top w:val="nil"/>
              <w:left w:val="nil"/>
              <w:bottom w:val="nil"/>
              <w:right w:val="nil"/>
            </w:tcBorders>
            <w:vAlign w:val="bottom"/>
          </w:tcPr>
          <w:p>
            <w:pPr>
              <w:spacing w:line="480" w:lineRule="auto"/>
              <w:jc w:val="right"/>
              <w:rPr>
                <w:rFonts w:cs="Arial"/>
                <w:b/>
                <w:bCs/>
                <w:color w:val="000000"/>
                <w:sz w:val="20"/>
              </w:rPr>
            </w:pPr>
            <w:r>
              <w:rPr>
                <w:rFonts w:cs="Arial"/>
                <w:b/>
                <w:bCs/>
                <w:color w:val="000000"/>
                <w:sz w:val="20"/>
              </w:rPr>
              <w:t>(5.917)</w:t>
            </w:r>
          </w:p>
        </w:tc>
        <w:tc>
          <w:tcPr>
            <w:tcW w:w="543" w:type="dxa"/>
            <w:gridSpan w:val="2"/>
            <w:tcBorders>
              <w:top w:val="nil"/>
              <w:left w:val="nil"/>
              <w:bottom w:val="nil"/>
              <w:right w:val="nil"/>
            </w:tcBorders>
            <w:vAlign w:val="bottom"/>
          </w:tcPr>
          <w:p>
            <w:pPr>
              <w:spacing w:line="480" w:lineRule="auto"/>
              <w:rPr>
                <w:rFonts w:cs="Arial"/>
                <w:b/>
                <w:bCs/>
                <w:color w:val="000000"/>
                <w:sz w:val="20"/>
              </w:rPr>
            </w:pPr>
          </w:p>
        </w:tc>
        <w:tc>
          <w:tcPr>
            <w:tcW w:w="1426" w:type="dxa"/>
            <w:tcBorders>
              <w:top w:val="nil"/>
              <w:left w:val="nil"/>
              <w:bottom w:val="nil"/>
              <w:right w:val="single" w:sz="8" w:space="0" w:color="000000"/>
            </w:tcBorders>
            <w:vAlign w:val="bottom"/>
          </w:tcPr>
          <w:p>
            <w:pPr>
              <w:spacing w:line="480" w:lineRule="auto"/>
              <w:jc w:val="right"/>
              <w:rPr>
                <w:rFonts w:cs="Arial"/>
                <w:b/>
                <w:bCs/>
                <w:color w:val="000000"/>
                <w:sz w:val="20"/>
              </w:rPr>
            </w:pPr>
            <w:r>
              <w:rPr>
                <w:rFonts w:cs="Arial"/>
                <w:b/>
                <w:bCs/>
                <w:color w:val="000000"/>
                <w:sz w:val="20"/>
              </w:rPr>
              <w:t>(5.726)</w:t>
            </w:r>
          </w:p>
        </w:tc>
      </w:tr>
      <w:tr>
        <w:trPr>
          <w:gridAfter w:val="2"/>
          <w:wAfter w:w="543" w:type="dxa"/>
          <w:trHeight w:val="234"/>
        </w:trPr>
        <w:tc>
          <w:tcPr>
            <w:tcW w:w="9969" w:type="dxa"/>
            <w:tcBorders>
              <w:top w:val="nil"/>
              <w:left w:val="single" w:sz="8" w:space="0" w:color="000000"/>
              <w:bottom w:val="nil"/>
              <w:right w:val="nil"/>
            </w:tcBorders>
          </w:tcPr>
          <w:p>
            <w:pPr>
              <w:tabs>
                <w:tab w:val="right" w:pos="5099"/>
              </w:tabs>
              <w:rPr>
                <w:rFonts w:cs="Arial"/>
                <w:b/>
                <w:bCs/>
                <w:color w:val="000000"/>
                <w:sz w:val="20"/>
              </w:rPr>
            </w:pPr>
            <w:r>
              <w:rPr>
                <w:rFonts w:cs="Arial"/>
                <w:b/>
                <w:bCs/>
                <w:color w:val="000000"/>
                <w:sz w:val="20"/>
              </w:rPr>
              <w:t>RESULTADO LÍQUIDO POR AÇÃO</w:t>
            </w:r>
          </w:p>
        </w:tc>
        <w:tc>
          <w:tcPr>
            <w:tcW w:w="544" w:type="dxa"/>
            <w:gridSpan w:val="2"/>
            <w:tcBorders>
              <w:top w:val="nil"/>
              <w:left w:val="nil"/>
              <w:bottom w:val="nil"/>
              <w:right w:val="nil"/>
            </w:tcBorders>
          </w:tcPr>
          <w:p>
            <w:pPr>
              <w:tabs>
                <w:tab w:val="right" w:pos="5099"/>
              </w:tabs>
              <w:jc w:val="right"/>
              <w:rPr>
                <w:rFonts w:cs="Arial"/>
                <w:b/>
                <w:bCs/>
                <w:color w:val="000000"/>
                <w:sz w:val="20"/>
              </w:rPr>
            </w:pPr>
          </w:p>
        </w:tc>
        <w:tc>
          <w:tcPr>
            <w:tcW w:w="446" w:type="dxa"/>
            <w:tcBorders>
              <w:left w:val="nil"/>
              <w:right w:val="nil"/>
            </w:tcBorders>
          </w:tcPr>
          <w:p>
            <w:pPr>
              <w:jc w:val="center"/>
              <w:rPr>
                <w:rFonts w:cs="Arial"/>
                <w:b/>
                <w:bCs/>
                <w:color w:val="000000"/>
                <w:sz w:val="20"/>
              </w:rPr>
            </w:pPr>
          </w:p>
        </w:tc>
        <w:tc>
          <w:tcPr>
            <w:tcW w:w="121" w:type="dxa"/>
            <w:tcBorders>
              <w:left w:val="nil"/>
              <w:right w:val="nil"/>
            </w:tcBorders>
          </w:tcPr>
          <w:p>
            <w:pPr>
              <w:jc w:val="right"/>
              <w:rPr>
                <w:rFonts w:cs="Arial"/>
                <w:b/>
                <w:bCs/>
                <w:color w:val="000000"/>
                <w:sz w:val="20"/>
              </w:rPr>
            </w:pPr>
          </w:p>
        </w:tc>
        <w:tc>
          <w:tcPr>
            <w:tcW w:w="20" w:type="dxa"/>
            <w:tcBorders>
              <w:top w:val="double" w:sz="6" w:space="0" w:color="000000"/>
              <w:left w:val="nil"/>
              <w:bottom w:val="double" w:sz="6" w:space="0" w:color="000000"/>
              <w:right w:val="nil"/>
            </w:tcBorders>
          </w:tcPr>
          <w:p>
            <w:pPr>
              <w:jc w:val="right"/>
              <w:rPr>
                <w:rFonts w:cs="Arial"/>
                <w:b/>
                <w:bCs/>
                <w:color w:val="000000"/>
                <w:sz w:val="20"/>
              </w:rPr>
            </w:pPr>
          </w:p>
        </w:tc>
        <w:tc>
          <w:tcPr>
            <w:tcW w:w="1399" w:type="dxa"/>
            <w:gridSpan w:val="3"/>
            <w:tcBorders>
              <w:top w:val="double" w:sz="6" w:space="0" w:color="000000"/>
              <w:left w:val="nil"/>
              <w:bottom w:val="double" w:sz="6" w:space="0" w:color="000000"/>
              <w:right w:val="nil"/>
            </w:tcBorders>
            <w:tcMar>
              <w:top w:w="28" w:type="dxa"/>
              <w:left w:w="28" w:type="dxa"/>
              <w:bottom w:w="28" w:type="dxa"/>
              <w:right w:w="28" w:type="dxa"/>
            </w:tcMar>
            <w:vAlign w:val="bottom"/>
          </w:tcPr>
          <w:p>
            <w:pPr>
              <w:jc w:val="right"/>
              <w:rPr>
                <w:rFonts w:cs="Arial"/>
                <w:b/>
                <w:bCs/>
                <w:color w:val="000000"/>
                <w:sz w:val="20"/>
              </w:rPr>
            </w:pPr>
            <w:r>
              <w:rPr>
                <w:rFonts w:cs="Arial"/>
                <w:b/>
                <w:bCs/>
                <w:color w:val="000000"/>
                <w:sz w:val="20"/>
              </w:rPr>
              <w:t>(0,17)</w:t>
            </w:r>
          </w:p>
        </w:tc>
        <w:tc>
          <w:tcPr>
            <w:tcW w:w="217" w:type="dxa"/>
            <w:tcBorders>
              <w:top w:val="nil"/>
              <w:left w:val="nil"/>
              <w:bottom w:val="nil"/>
              <w:right w:val="nil"/>
            </w:tcBorders>
            <w:vAlign w:val="bottom"/>
          </w:tcPr>
          <w:p>
            <w:pPr>
              <w:rPr>
                <w:rFonts w:cs="Arial"/>
                <w:b/>
                <w:bCs/>
                <w:color w:val="000000"/>
                <w:sz w:val="20"/>
              </w:rPr>
            </w:pPr>
          </w:p>
        </w:tc>
        <w:tc>
          <w:tcPr>
            <w:tcW w:w="1752" w:type="dxa"/>
            <w:gridSpan w:val="2"/>
            <w:tcBorders>
              <w:top w:val="double" w:sz="6" w:space="0" w:color="000000"/>
              <w:left w:val="nil"/>
              <w:bottom w:val="double" w:sz="6" w:space="0" w:color="000000"/>
              <w:right w:val="single" w:sz="8" w:space="0" w:color="000000"/>
            </w:tcBorders>
            <w:vAlign w:val="bottom"/>
          </w:tcPr>
          <w:p>
            <w:pPr>
              <w:jc w:val="right"/>
              <w:rPr>
                <w:rFonts w:cs="Arial"/>
                <w:b/>
                <w:bCs/>
                <w:color w:val="000000"/>
                <w:sz w:val="20"/>
              </w:rPr>
            </w:pPr>
            <w:r>
              <w:rPr>
                <w:rFonts w:cs="Arial"/>
                <w:b/>
                <w:bCs/>
                <w:color w:val="000000"/>
                <w:sz w:val="20"/>
              </w:rPr>
              <w:t>(0,17)</w:t>
            </w:r>
          </w:p>
        </w:tc>
      </w:tr>
      <w:tr>
        <w:trPr>
          <w:gridAfter w:val="2"/>
          <w:wAfter w:w="543" w:type="dxa"/>
          <w:trHeight w:val="222"/>
        </w:trPr>
        <w:tc>
          <w:tcPr>
            <w:tcW w:w="10513" w:type="dxa"/>
            <w:gridSpan w:val="3"/>
            <w:tcBorders>
              <w:top w:val="nil"/>
              <w:left w:val="single" w:sz="8" w:space="0" w:color="000000"/>
              <w:bottom w:val="nil"/>
              <w:right w:val="nil"/>
            </w:tcBorders>
            <w:vAlign w:val="bottom"/>
          </w:tcPr>
          <w:p>
            <w:pPr>
              <w:rPr>
                <w:rFonts w:cs="Arial"/>
                <w:bCs/>
                <w:color w:val="000000"/>
                <w:sz w:val="20"/>
              </w:rPr>
            </w:pPr>
            <w:r>
              <w:rPr>
                <w:rFonts w:cs="Arial"/>
                <w:bCs/>
                <w:color w:val="000000"/>
                <w:sz w:val="20"/>
              </w:rPr>
              <w:t>As notas explicativas integram as demonstrações contábeis intermediárias.</w:t>
            </w:r>
          </w:p>
        </w:tc>
        <w:tc>
          <w:tcPr>
            <w:tcW w:w="446" w:type="dxa"/>
            <w:tcBorders>
              <w:top w:val="nil"/>
              <w:left w:val="nil"/>
              <w:bottom w:val="nil"/>
              <w:right w:val="nil"/>
            </w:tcBorders>
          </w:tcPr>
          <w:p>
            <w:pPr>
              <w:jc w:val="center"/>
              <w:rPr>
                <w:rFonts w:cs="Arial"/>
                <w:b/>
                <w:bCs/>
                <w:color w:val="000000"/>
                <w:sz w:val="20"/>
              </w:rPr>
            </w:pPr>
          </w:p>
        </w:tc>
        <w:tc>
          <w:tcPr>
            <w:tcW w:w="446" w:type="dxa"/>
            <w:gridSpan w:val="3"/>
            <w:tcBorders>
              <w:top w:val="nil"/>
              <w:left w:val="nil"/>
              <w:bottom w:val="nil"/>
              <w:right w:val="nil"/>
            </w:tcBorders>
          </w:tcPr>
          <w:p>
            <w:pPr>
              <w:rPr>
                <w:rFonts w:cs="Arial"/>
                <w:b/>
                <w:bCs/>
                <w:color w:val="000000"/>
                <w:sz w:val="20"/>
              </w:rPr>
            </w:pPr>
          </w:p>
        </w:tc>
        <w:tc>
          <w:tcPr>
            <w:tcW w:w="20" w:type="dxa"/>
            <w:tcBorders>
              <w:top w:val="nil"/>
              <w:left w:val="nil"/>
              <w:bottom w:val="nil"/>
              <w:right w:val="nil"/>
            </w:tcBorders>
          </w:tcPr>
          <w:p>
            <w:pPr>
              <w:rPr>
                <w:rFonts w:cs="Arial"/>
                <w:b/>
                <w:bCs/>
                <w:color w:val="000000"/>
                <w:sz w:val="20"/>
              </w:rPr>
            </w:pPr>
          </w:p>
        </w:tc>
        <w:tc>
          <w:tcPr>
            <w:tcW w:w="1074" w:type="dxa"/>
            <w:tcBorders>
              <w:top w:val="nil"/>
              <w:left w:val="nil"/>
              <w:bottom w:val="nil"/>
              <w:right w:val="nil"/>
            </w:tcBorders>
            <w:vAlign w:val="bottom"/>
          </w:tcPr>
          <w:p>
            <w:pPr>
              <w:rPr>
                <w:rFonts w:cs="Arial"/>
                <w:b/>
                <w:bCs/>
                <w:color w:val="000000"/>
                <w:sz w:val="20"/>
              </w:rPr>
            </w:pPr>
          </w:p>
        </w:tc>
        <w:tc>
          <w:tcPr>
            <w:tcW w:w="543" w:type="dxa"/>
            <w:gridSpan w:val="2"/>
            <w:tcBorders>
              <w:top w:val="nil"/>
              <w:left w:val="nil"/>
              <w:bottom w:val="nil"/>
              <w:right w:val="nil"/>
            </w:tcBorders>
            <w:vAlign w:val="bottom"/>
          </w:tcPr>
          <w:p>
            <w:pPr>
              <w:rPr>
                <w:rFonts w:cs="Arial"/>
                <w:b/>
                <w:bCs/>
                <w:color w:val="000000"/>
                <w:sz w:val="20"/>
              </w:rPr>
            </w:pPr>
          </w:p>
        </w:tc>
        <w:tc>
          <w:tcPr>
            <w:tcW w:w="1426" w:type="dxa"/>
            <w:tcBorders>
              <w:top w:val="nil"/>
              <w:left w:val="nil"/>
              <w:bottom w:val="nil"/>
              <w:right w:val="single" w:sz="8" w:space="0" w:color="000000"/>
            </w:tcBorders>
            <w:vAlign w:val="bottom"/>
          </w:tcPr>
          <w:p>
            <w:pPr>
              <w:rPr>
                <w:rFonts w:cs="Arial"/>
                <w:b/>
                <w:bCs/>
                <w:color w:val="000000"/>
                <w:sz w:val="20"/>
              </w:rPr>
            </w:pPr>
          </w:p>
        </w:tc>
      </w:tr>
      <w:tr>
        <w:trPr>
          <w:gridAfter w:val="2"/>
          <w:wAfter w:w="543" w:type="dxa"/>
          <w:trHeight w:val="278"/>
        </w:trPr>
        <w:tc>
          <w:tcPr>
            <w:tcW w:w="10513" w:type="dxa"/>
            <w:gridSpan w:val="3"/>
            <w:tcBorders>
              <w:top w:val="nil"/>
              <w:left w:val="single" w:sz="8" w:space="0" w:color="000000"/>
              <w:bottom w:val="single" w:sz="8" w:space="0" w:color="000000"/>
              <w:right w:val="nil"/>
            </w:tcBorders>
            <w:vAlign w:val="bottom"/>
          </w:tcPr>
          <w:p>
            <w:pPr>
              <w:rPr>
                <w:rFonts w:cs="Arial"/>
                <w:b/>
                <w:bCs/>
                <w:color w:val="000000"/>
                <w:sz w:val="20"/>
              </w:rPr>
            </w:pPr>
          </w:p>
        </w:tc>
        <w:tc>
          <w:tcPr>
            <w:tcW w:w="446" w:type="dxa"/>
            <w:tcBorders>
              <w:top w:val="nil"/>
              <w:left w:val="nil"/>
              <w:bottom w:val="single" w:sz="8" w:space="0" w:color="000000"/>
              <w:right w:val="nil"/>
            </w:tcBorders>
          </w:tcPr>
          <w:p>
            <w:pPr>
              <w:rPr>
                <w:rFonts w:cs="Arial"/>
                <w:b/>
                <w:bCs/>
                <w:color w:val="000000"/>
                <w:sz w:val="20"/>
              </w:rPr>
            </w:pPr>
          </w:p>
        </w:tc>
        <w:tc>
          <w:tcPr>
            <w:tcW w:w="446" w:type="dxa"/>
            <w:gridSpan w:val="3"/>
            <w:tcBorders>
              <w:top w:val="nil"/>
              <w:left w:val="nil"/>
              <w:bottom w:val="single" w:sz="8" w:space="0" w:color="000000"/>
              <w:right w:val="nil"/>
            </w:tcBorders>
          </w:tcPr>
          <w:p>
            <w:pPr>
              <w:rPr>
                <w:rFonts w:cs="Arial"/>
                <w:b/>
                <w:bCs/>
                <w:color w:val="000000"/>
                <w:sz w:val="20"/>
              </w:rPr>
            </w:pPr>
          </w:p>
        </w:tc>
        <w:tc>
          <w:tcPr>
            <w:tcW w:w="20" w:type="dxa"/>
            <w:tcBorders>
              <w:top w:val="nil"/>
              <w:left w:val="nil"/>
              <w:bottom w:val="single" w:sz="8" w:space="0" w:color="000000"/>
              <w:right w:val="nil"/>
            </w:tcBorders>
          </w:tcPr>
          <w:p>
            <w:pPr>
              <w:rPr>
                <w:rFonts w:cs="Arial"/>
                <w:b/>
                <w:bCs/>
                <w:color w:val="000000"/>
                <w:sz w:val="20"/>
              </w:rPr>
            </w:pPr>
          </w:p>
        </w:tc>
        <w:tc>
          <w:tcPr>
            <w:tcW w:w="1074" w:type="dxa"/>
            <w:tcBorders>
              <w:top w:val="nil"/>
              <w:left w:val="nil"/>
              <w:bottom w:val="single" w:sz="8" w:space="0" w:color="000000"/>
              <w:right w:val="nil"/>
            </w:tcBorders>
            <w:vAlign w:val="bottom"/>
          </w:tcPr>
          <w:p>
            <w:pPr>
              <w:rPr>
                <w:rFonts w:cs="Arial"/>
                <w:b/>
                <w:bCs/>
                <w:color w:val="000000"/>
                <w:sz w:val="20"/>
              </w:rPr>
            </w:pPr>
          </w:p>
        </w:tc>
        <w:tc>
          <w:tcPr>
            <w:tcW w:w="543" w:type="dxa"/>
            <w:gridSpan w:val="2"/>
            <w:tcBorders>
              <w:top w:val="nil"/>
              <w:left w:val="nil"/>
              <w:bottom w:val="single" w:sz="8" w:space="0" w:color="000000"/>
              <w:right w:val="nil"/>
            </w:tcBorders>
            <w:vAlign w:val="bottom"/>
          </w:tcPr>
          <w:p>
            <w:pPr>
              <w:rPr>
                <w:rFonts w:cs="Arial"/>
                <w:b/>
                <w:bCs/>
                <w:color w:val="000000"/>
                <w:sz w:val="20"/>
              </w:rPr>
            </w:pPr>
          </w:p>
        </w:tc>
        <w:tc>
          <w:tcPr>
            <w:tcW w:w="1426" w:type="dxa"/>
            <w:tcBorders>
              <w:top w:val="nil"/>
              <w:left w:val="nil"/>
              <w:bottom w:val="single" w:sz="8" w:space="0" w:color="000000"/>
              <w:right w:val="single" w:sz="8" w:space="0" w:color="000000"/>
            </w:tcBorders>
            <w:vAlign w:val="bottom"/>
          </w:tcPr>
          <w:p>
            <w:pPr>
              <w:rPr>
                <w:rFonts w:cs="Arial"/>
                <w:b/>
                <w:bCs/>
                <w:color w:val="000000"/>
                <w:sz w:val="20"/>
              </w:rPr>
            </w:pPr>
          </w:p>
        </w:tc>
      </w:tr>
    </w:tbl>
    <w:p>
      <w:pPr>
        <w:jc w:val="center"/>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pPr>
    </w:p>
    <w:tbl>
      <w:tblPr>
        <w:tblpPr w:leftFromText="141" w:rightFromText="141" w:vertAnchor="text" w:horzAnchor="page" w:tblpX="1180" w:tblpY="154"/>
        <w:tblW w:w="14621" w:type="dxa"/>
        <w:tblLayout w:type="fixed"/>
        <w:tblCellMar>
          <w:top w:w="28" w:type="dxa"/>
          <w:left w:w="28" w:type="dxa"/>
          <w:bottom w:w="28" w:type="dxa"/>
          <w:right w:w="28" w:type="dxa"/>
        </w:tblCellMar>
        <w:tblLook w:val="0000" w:firstRow="0" w:lastRow="0" w:firstColumn="0" w:lastColumn="0" w:noHBand="0" w:noVBand="0"/>
      </w:tblPr>
      <w:tblGrid>
        <w:gridCol w:w="9811"/>
        <w:gridCol w:w="2422"/>
        <w:gridCol w:w="266"/>
        <w:gridCol w:w="2122"/>
      </w:tblGrid>
      <w:tr>
        <w:trPr>
          <w:trHeight w:val="380"/>
        </w:trPr>
        <w:tc>
          <w:tcPr>
            <w:tcW w:w="9811" w:type="dxa"/>
            <w:tcBorders>
              <w:top w:val="single" w:sz="8" w:space="0" w:color="000000"/>
              <w:left w:val="single" w:sz="8" w:space="0" w:color="000000"/>
              <w:bottom w:val="nil"/>
              <w:right w:val="nil"/>
            </w:tcBorders>
            <w:vAlign w:val="bottom"/>
          </w:tcPr>
          <w:p>
            <w:pPr>
              <w:suppressAutoHyphens w:val="0"/>
              <w:autoSpaceDN w:val="0"/>
              <w:adjustRightInd w:val="0"/>
              <w:rPr>
                <w:rFonts w:eastAsia="Times New Roman" w:cs="Arial"/>
                <w:b/>
                <w:color w:val="000000"/>
                <w:sz w:val="20"/>
              </w:rPr>
            </w:pPr>
          </w:p>
          <w:p>
            <w:pPr>
              <w:pStyle w:val="Ttulo2"/>
              <w:ind w:left="0"/>
            </w:pPr>
            <w:bookmarkStart w:id="4" w:name="_DEMONSTRAÇÃO_DO_RESULTADO_1"/>
            <w:bookmarkStart w:id="5" w:name="_Toc41376082"/>
            <w:bookmarkEnd w:id="4"/>
            <w:r>
              <w:t>DEMONSTRAÇÃO DO RESULTADO ABRANGENTE</w:t>
            </w:r>
            <w:bookmarkEnd w:id="5"/>
          </w:p>
          <w:p>
            <w:pPr>
              <w:rPr>
                <w:rFonts w:cs="Arial"/>
              </w:rPr>
            </w:pPr>
            <w:r>
              <w:rPr>
                <w:rFonts w:cs="Arial"/>
                <w:b/>
                <w:sz w:val="20"/>
              </w:rPr>
              <w:t>PARA O PERÍODO DE TRÊS MESES FINDOS EM 31 DE MARÇO DE 2020 E 2019</w:t>
            </w:r>
          </w:p>
          <w:p>
            <w:pPr>
              <w:suppressAutoHyphens w:val="0"/>
              <w:autoSpaceDN w:val="0"/>
              <w:adjustRightInd w:val="0"/>
              <w:rPr>
                <w:rFonts w:eastAsia="Times New Roman" w:cs="Arial"/>
                <w:b/>
                <w:color w:val="000000"/>
                <w:sz w:val="20"/>
              </w:rPr>
            </w:pPr>
          </w:p>
        </w:tc>
        <w:tc>
          <w:tcPr>
            <w:tcW w:w="2422" w:type="dxa"/>
            <w:tcBorders>
              <w:top w:val="single" w:sz="8" w:space="0" w:color="000000"/>
              <w:left w:val="nil"/>
              <w:bottom w:val="single" w:sz="2" w:space="0" w:color="000000"/>
              <w:right w:val="nil"/>
            </w:tcBorders>
            <w:vAlign w:val="bottom"/>
          </w:tcPr>
          <w:p>
            <w:pPr>
              <w:suppressAutoHyphens w:val="0"/>
              <w:autoSpaceDE w:val="0"/>
              <w:autoSpaceDN w:val="0"/>
              <w:adjustRightInd w:val="0"/>
              <w:jc w:val="right"/>
              <w:rPr>
                <w:rFonts w:eastAsia="Times New Roman" w:cs="Arial"/>
                <w:b/>
                <w:color w:val="000000"/>
                <w:sz w:val="20"/>
              </w:rPr>
            </w:pPr>
          </w:p>
          <w:p>
            <w:pPr>
              <w:suppressAutoHyphens w:val="0"/>
              <w:autoSpaceDE w:val="0"/>
              <w:autoSpaceDN w:val="0"/>
              <w:adjustRightInd w:val="0"/>
              <w:jc w:val="right"/>
              <w:rPr>
                <w:rFonts w:eastAsia="Times New Roman" w:cs="Arial"/>
                <w:b/>
                <w:color w:val="000000"/>
                <w:sz w:val="20"/>
              </w:rPr>
            </w:pPr>
          </w:p>
          <w:p>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31.03.2020</w:t>
            </w:r>
          </w:p>
        </w:tc>
        <w:tc>
          <w:tcPr>
            <w:tcW w:w="266" w:type="dxa"/>
            <w:tcBorders>
              <w:top w:val="single" w:sz="8" w:space="0" w:color="000000"/>
              <w:left w:val="nil"/>
              <w:right w:val="nil"/>
            </w:tcBorders>
          </w:tcPr>
          <w:p>
            <w:pPr>
              <w:suppressAutoHyphens w:val="0"/>
              <w:autoSpaceDN w:val="0"/>
              <w:adjustRightInd w:val="0"/>
              <w:jc w:val="right"/>
              <w:rPr>
                <w:rFonts w:eastAsia="Times New Roman" w:cs="Arial"/>
                <w:b/>
                <w:color w:val="000000"/>
                <w:sz w:val="20"/>
              </w:rPr>
            </w:pPr>
          </w:p>
        </w:tc>
        <w:tc>
          <w:tcPr>
            <w:tcW w:w="2122" w:type="dxa"/>
            <w:tcBorders>
              <w:top w:val="single" w:sz="8" w:space="0" w:color="000000"/>
              <w:left w:val="nil"/>
              <w:bottom w:val="single" w:sz="2" w:space="0" w:color="000000"/>
              <w:right w:val="single" w:sz="8" w:space="0" w:color="000000"/>
            </w:tcBorders>
            <w:vAlign w:val="bottom"/>
          </w:tcPr>
          <w:p>
            <w:pPr>
              <w:suppressAutoHyphens w:val="0"/>
              <w:autoSpaceDN w:val="0"/>
              <w:adjustRightInd w:val="0"/>
              <w:ind w:right="10"/>
              <w:jc w:val="right"/>
              <w:rPr>
                <w:rFonts w:eastAsia="Times New Roman" w:cs="Arial"/>
                <w:b/>
                <w:color w:val="000000"/>
                <w:sz w:val="20"/>
              </w:rPr>
            </w:pPr>
            <w:r>
              <w:rPr>
                <w:rFonts w:eastAsia="Times New Roman" w:cs="Arial"/>
                <w:b/>
                <w:color w:val="000000"/>
                <w:sz w:val="20"/>
              </w:rPr>
              <w:t>31.03.2019</w:t>
            </w:r>
          </w:p>
        </w:tc>
      </w:tr>
      <w:tr>
        <w:trPr>
          <w:trHeight w:hRule="exact" w:val="411"/>
        </w:trPr>
        <w:tc>
          <w:tcPr>
            <w:tcW w:w="9811" w:type="dxa"/>
            <w:tcBorders>
              <w:top w:val="nil"/>
              <w:left w:val="single" w:sz="8" w:space="0" w:color="000000"/>
              <w:bottom w:val="nil"/>
              <w:right w:val="nil"/>
            </w:tcBorders>
            <w:vAlign w:val="bottom"/>
          </w:tcPr>
          <w:p>
            <w:pPr>
              <w:suppressAutoHyphens w:val="0"/>
              <w:autoSpaceDN w:val="0"/>
              <w:adjustRightInd w:val="0"/>
              <w:rPr>
                <w:rFonts w:eastAsia="Times New Roman" w:cs="Arial"/>
                <w:color w:val="000000"/>
                <w:sz w:val="20"/>
              </w:rPr>
            </w:pPr>
            <w:r>
              <w:rPr>
                <w:rFonts w:eastAsia="Times New Roman" w:cs="Arial"/>
                <w:b/>
                <w:color w:val="000000"/>
                <w:sz w:val="20"/>
              </w:rPr>
              <w:t>(Em milhares de reais)</w:t>
            </w:r>
          </w:p>
        </w:tc>
        <w:tc>
          <w:tcPr>
            <w:tcW w:w="2422" w:type="dxa"/>
            <w:tcBorders>
              <w:top w:val="nil"/>
              <w:left w:val="nil"/>
              <w:bottom w:val="nil"/>
              <w:right w:val="nil"/>
            </w:tcBorders>
            <w:vAlign w:val="bottom"/>
          </w:tcPr>
          <w:p>
            <w:pPr>
              <w:suppressAutoHyphens w:val="0"/>
              <w:autoSpaceDE w:val="0"/>
              <w:autoSpaceDN w:val="0"/>
              <w:adjustRightInd w:val="0"/>
              <w:rPr>
                <w:rFonts w:eastAsia="Times New Roman" w:cs="Arial"/>
                <w:color w:val="000000"/>
                <w:sz w:val="20"/>
              </w:rPr>
            </w:pPr>
          </w:p>
        </w:tc>
        <w:tc>
          <w:tcPr>
            <w:tcW w:w="266" w:type="dxa"/>
            <w:tcBorders>
              <w:top w:val="nil"/>
              <w:left w:val="nil"/>
              <w:bottom w:val="nil"/>
              <w:right w:val="nil"/>
            </w:tcBorders>
          </w:tcPr>
          <w:p>
            <w:pPr>
              <w:suppressAutoHyphens w:val="0"/>
              <w:autoSpaceDN w:val="0"/>
              <w:adjustRightInd w:val="0"/>
              <w:rPr>
                <w:rFonts w:eastAsia="Times New Roman" w:cs="Arial"/>
                <w:color w:val="000000"/>
                <w:sz w:val="20"/>
              </w:rPr>
            </w:pPr>
          </w:p>
        </w:tc>
        <w:tc>
          <w:tcPr>
            <w:tcW w:w="2122" w:type="dxa"/>
            <w:tcBorders>
              <w:top w:val="nil"/>
              <w:left w:val="nil"/>
              <w:bottom w:val="nil"/>
              <w:right w:val="single" w:sz="8" w:space="0" w:color="000000"/>
            </w:tcBorders>
            <w:vAlign w:val="bottom"/>
          </w:tcPr>
          <w:p>
            <w:pPr>
              <w:suppressAutoHyphens w:val="0"/>
              <w:autoSpaceDN w:val="0"/>
              <w:adjustRightInd w:val="0"/>
              <w:jc w:val="right"/>
              <w:rPr>
                <w:rFonts w:eastAsia="Times New Roman" w:cs="Arial"/>
                <w:color w:val="000000"/>
                <w:sz w:val="20"/>
              </w:rPr>
            </w:pP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eastAsia="Times New Roman" w:cs="Arial"/>
                <w:b/>
                <w:sz w:val="20"/>
                <w:lang w:eastAsia="en-US"/>
              </w:rPr>
            </w:pPr>
            <w:r>
              <w:rPr>
                <w:rFonts w:eastAsia="Times New Roman" w:cs="Arial"/>
                <w:b/>
                <w:sz w:val="20"/>
                <w:lang w:eastAsia="en-US"/>
              </w:rPr>
              <w:t>RESULTADO LÍQUIDO DO PERÍODO</w:t>
            </w:r>
          </w:p>
        </w:tc>
        <w:tc>
          <w:tcPr>
            <w:tcW w:w="2422" w:type="dxa"/>
            <w:tcBorders>
              <w:top w:val="nil"/>
              <w:left w:val="nil"/>
              <w:right w:val="nil"/>
            </w:tcBorders>
            <w:vAlign w:val="bottom"/>
          </w:tcPr>
          <w:p>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(5.917)</w:t>
            </w:r>
          </w:p>
        </w:tc>
        <w:tc>
          <w:tcPr>
            <w:tcW w:w="266" w:type="dxa"/>
            <w:tcBorders>
              <w:top w:val="nil"/>
              <w:left w:val="nil"/>
              <w:bottom w:val="nil"/>
              <w:right w:val="nil"/>
            </w:tcBorders>
          </w:tcPr>
          <w:p>
            <w:pPr>
              <w:suppressAutoHyphens w:val="0"/>
              <w:autoSpaceDN w:val="0"/>
              <w:adjustRightInd w:val="0"/>
              <w:ind w:right="10"/>
              <w:jc w:val="center"/>
              <w:rPr>
                <w:rFonts w:eastAsia="Times New Roman" w:cs="Arial"/>
                <w:color w:val="000000"/>
                <w:sz w:val="20"/>
              </w:rPr>
            </w:pPr>
          </w:p>
        </w:tc>
        <w:tc>
          <w:tcPr>
            <w:tcW w:w="2122" w:type="dxa"/>
            <w:tcBorders>
              <w:top w:val="nil"/>
              <w:left w:val="nil"/>
              <w:right w:val="single" w:sz="8" w:space="0" w:color="000000"/>
            </w:tcBorders>
            <w:vAlign w:val="bottom"/>
          </w:tcPr>
          <w:p>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(5.726)</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eastAsia="Times New Roman" w:cs="Arial"/>
                <w:sz w:val="20"/>
                <w:lang w:eastAsia="en-US"/>
              </w:rPr>
            </w:pPr>
            <w:r>
              <w:rPr>
                <w:rFonts w:eastAsia="Times New Roman" w:cs="Arial"/>
                <w:sz w:val="20"/>
                <w:lang w:eastAsia="en-US"/>
              </w:rPr>
              <w:t>(+) Realização da reserva de reavaliação</w:t>
            </w:r>
          </w:p>
        </w:tc>
        <w:tc>
          <w:tcPr>
            <w:tcW w:w="2422" w:type="dxa"/>
            <w:tcBorders>
              <w:top w:val="nil"/>
              <w:left w:val="nil"/>
              <w:right w:val="nil"/>
            </w:tcBorders>
            <w:vAlign w:val="bottom"/>
          </w:tcPr>
          <w:p>
            <w:pPr>
              <w:suppressAutoHyphens w:val="0"/>
              <w:autoSpaceDE w:val="0"/>
              <w:autoSpaceDN w:val="0"/>
              <w:adjustRightInd w:val="0"/>
              <w:jc w:val="right"/>
              <w:rPr>
                <w:rFonts w:eastAsia="Times New Roman" w:cs="Arial"/>
                <w:color w:val="000000"/>
                <w:sz w:val="20"/>
              </w:rPr>
            </w:pPr>
            <w:r>
              <w:rPr>
                <w:rFonts w:eastAsia="Times New Roman" w:cs="Arial"/>
                <w:color w:val="000000"/>
                <w:sz w:val="20"/>
              </w:rPr>
              <w:t>142</w:t>
            </w:r>
          </w:p>
        </w:tc>
        <w:tc>
          <w:tcPr>
            <w:tcW w:w="266" w:type="dxa"/>
            <w:tcBorders>
              <w:top w:val="nil"/>
              <w:left w:val="nil"/>
              <w:bottom w:val="nil"/>
              <w:right w:val="nil"/>
            </w:tcBorders>
          </w:tcPr>
          <w:p>
            <w:pPr>
              <w:suppressAutoHyphens w:val="0"/>
              <w:autoSpaceDN w:val="0"/>
              <w:adjustRightInd w:val="0"/>
              <w:ind w:right="20"/>
              <w:jc w:val="center"/>
              <w:rPr>
                <w:rFonts w:eastAsia="Times New Roman" w:cs="Arial"/>
                <w:color w:val="000000"/>
                <w:sz w:val="20"/>
              </w:rPr>
            </w:pPr>
          </w:p>
        </w:tc>
        <w:tc>
          <w:tcPr>
            <w:tcW w:w="2122" w:type="dxa"/>
            <w:tcBorders>
              <w:top w:val="nil"/>
              <w:left w:val="nil"/>
              <w:right w:val="single" w:sz="8" w:space="0" w:color="000000"/>
            </w:tcBorders>
            <w:vAlign w:val="bottom"/>
          </w:tcPr>
          <w:p>
            <w:pPr>
              <w:suppressAutoHyphens w:val="0"/>
              <w:autoSpaceDE w:val="0"/>
              <w:autoSpaceDN w:val="0"/>
              <w:adjustRightInd w:val="0"/>
              <w:jc w:val="right"/>
              <w:rPr>
                <w:rFonts w:eastAsia="Times New Roman" w:cs="Arial"/>
                <w:color w:val="000000"/>
                <w:sz w:val="20"/>
              </w:rPr>
            </w:pPr>
            <w:r>
              <w:rPr>
                <w:rFonts w:eastAsia="Times New Roman" w:cs="Arial"/>
                <w:color w:val="000000"/>
                <w:sz w:val="20"/>
              </w:rPr>
              <w:t>142</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eastAsia="Times New Roman" w:cs="Arial"/>
                <w:b/>
                <w:sz w:val="20"/>
                <w:lang w:eastAsia="en-US"/>
              </w:rPr>
            </w:pPr>
            <w:r>
              <w:rPr>
                <w:rFonts w:eastAsia="Times New Roman" w:cs="Arial"/>
                <w:b/>
                <w:sz w:val="20"/>
                <w:lang w:eastAsia="en-US"/>
              </w:rPr>
              <w:t>RESULTADO LÍQUIDO ABRANGENTE</w:t>
            </w:r>
          </w:p>
        </w:tc>
        <w:tc>
          <w:tcPr>
            <w:tcW w:w="2422" w:type="dxa"/>
            <w:tcBorders>
              <w:top w:val="single" w:sz="4" w:space="0" w:color="auto"/>
              <w:left w:val="nil"/>
              <w:bottom w:val="nil"/>
              <w:right w:val="nil"/>
            </w:tcBorders>
            <w:vAlign w:val="bottom"/>
          </w:tcPr>
          <w:p>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(5.775)</w:t>
            </w:r>
          </w:p>
        </w:tc>
        <w:tc>
          <w:tcPr>
            <w:tcW w:w="266" w:type="dxa"/>
            <w:tcBorders>
              <w:top w:val="nil"/>
              <w:left w:val="nil"/>
              <w:bottom w:val="nil"/>
              <w:right w:val="nil"/>
            </w:tcBorders>
          </w:tcPr>
          <w:p>
            <w:pPr>
              <w:suppressAutoHyphens w:val="0"/>
              <w:autoSpaceDN w:val="0"/>
              <w:adjustRightInd w:val="0"/>
              <w:ind w:right="10"/>
              <w:rPr>
                <w:rFonts w:eastAsia="Times New Roman" w:cs="Arial"/>
                <w:color w:val="000000"/>
                <w:sz w:val="20"/>
              </w:rPr>
            </w:pPr>
          </w:p>
        </w:tc>
        <w:tc>
          <w:tcPr>
            <w:tcW w:w="2122" w:type="dxa"/>
            <w:tcBorders>
              <w:top w:val="single" w:sz="4" w:space="0" w:color="auto"/>
              <w:left w:val="nil"/>
              <w:bottom w:val="nil"/>
              <w:right w:val="single" w:sz="8" w:space="0" w:color="000000"/>
            </w:tcBorders>
            <w:vAlign w:val="bottom"/>
          </w:tcPr>
          <w:p>
            <w:pPr>
              <w:suppressAutoHyphens w:val="0"/>
              <w:autoSpaceDE w:val="0"/>
              <w:autoSpaceDN w:val="0"/>
              <w:adjustRightInd w:val="0"/>
              <w:jc w:val="right"/>
              <w:rPr>
                <w:rFonts w:eastAsia="Times New Roman" w:cs="Arial"/>
                <w:b/>
                <w:color w:val="000000"/>
                <w:sz w:val="20"/>
              </w:rPr>
            </w:pPr>
            <w:r>
              <w:rPr>
                <w:rFonts w:eastAsia="Times New Roman" w:cs="Arial"/>
                <w:b/>
                <w:color w:val="000000"/>
                <w:sz w:val="20"/>
              </w:rPr>
              <w:t>(5.584)</w:t>
            </w:r>
          </w:p>
        </w:tc>
      </w:tr>
      <w:tr>
        <w:trPr>
          <w:trHeight w:val="344"/>
        </w:trPr>
        <w:tc>
          <w:tcPr>
            <w:tcW w:w="9811" w:type="dxa"/>
            <w:tcBorders>
              <w:top w:val="nil"/>
              <w:left w:val="single" w:sz="8" w:space="0" w:color="000000"/>
              <w:bottom w:val="single" w:sz="8" w:space="0" w:color="000000"/>
              <w:right w:val="nil"/>
            </w:tcBorders>
            <w:vAlign w:val="bottom"/>
          </w:tcPr>
          <w:p>
            <w:pPr>
              <w:suppressAutoHyphens w:val="0"/>
              <w:autoSpaceDE w:val="0"/>
              <w:autoSpaceDN w:val="0"/>
              <w:adjustRightInd w:val="0"/>
              <w:rPr>
                <w:rFonts w:eastAsia="Times New Roman" w:cs="Arial"/>
                <w:color w:val="000000"/>
                <w:sz w:val="20"/>
              </w:rPr>
            </w:pPr>
            <w:r>
              <w:rPr>
                <w:rFonts w:eastAsia="Times New Roman" w:cs="Arial"/>
                <w:color w:val="000000"/>
                <w:sz w:val="20"/>
              </w:rPr>
              <w:t>As notas explicativas integram as demonstrações contábeis intermediárias.</w:t>
            </w:r>
          </w:p>
        </w:tc>
        <w:tc>
          <w:tcPr>
            <w:tcW w:w="2422" w:type="dxa"/>
            <w:tcBorders>
              <w:top w:val="nil"/>
              <w:left w:val="nil"/>
              <w:bottom w:val="single" w:sz="8" w:space="0" w:color="000000"/>
              <w:right w:val="nil"/>
            </w:tcBorders>
            <w:vAlign w:val="bottom"/>
          </w:tcPr>
          <w:p>
            <w:pPr>
              <w:suppressAutoHyphens w:val="0"/>
              <w:autoSpaceDE w:val="0"/>
              <w:autoSpaceDN w:val="0"/>
              <w:adjustRightInd w:val="0"/>
              <w:jc w:val="right"/>
              <w:rPr>
                <w:rFonts w:eastAsia="Times New Roman" w:cs="Arial"/>
                <w:color w:val="000000"/>
                <w:sz w:val="20"/>
              </w:rPr>
            </w:pPr>
          </w:p>
        </w:tc>
        <w:tc>
          <w:tcPr>
            <w:tcW w:w="266" w:type="dxa"/>
            <w:tcBorders>
              <w:top w:val="nil"/>
              <w:left w:val="nil"/>
              <w:bottom w:val="single" w:sz="8" w:space="0" w:color="000000"/>
              <w:right w:val="nil"/>
            </w:tcBorders>
          </w:tcPr>
          <w:p>
            <w:pPr>
              <w:suppressAutoHyphens w:val="0"/>
              <w:autoSpaceDN w:val="0"/>
              <w:adjustRightInd w:val="0"/>
              <w:ind w:right="10"/>
              <w:jc w:val="right"/>
              <w:rPr>
                <w:rFonts w:eastAsia="Times New Roman" w:cs="Arial"/>
                <w:color w:val="000000"/>
                <w:sz w:val="20"/>
              </w:rPr>
            </w:pPr>
          </w:p>
        </w:tc>
        <w:tc>
          <w:tcPr>
            <w:tcW w:w="2122" w:type="dxa"/>
            <w:tcBorders>
              <w:top w:val="nil"/>
              <w:left w:val="nil"/>
              <w:bottom w:val="single" w:sz="8" w:space="0" w:color="000000"/>
              <w:right w:val="single" w:sz="8" w:space="0" w:color="000000"/>
            </w:tcBorders>
            <w:vAlign w:val="bottom"/>
          </w:tcPr>
          <w:p>
            <w:pPr>
              <w:suppressAutoHyphens w:val="0"/>
              <w:autoSpaceDN w:val="0"/>
              <w:adjustRightInd w:val="0"/>
              <w:ind w:right="10"/>
              <w:jc w:val="right"/>
              <w:rPr>
                <w:rFonts w:eastAsia="Times New Roman" w:cs="Arial"/>
                <w:color w:val="000000"/>
                <w:sz w:val="20"/>
              </w:rPr>
            </w:pPr>
          </w:p>
        </w:tc>
      </w:tr>
    </w:tbl>
    <w:p>
      <w:pPr>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pPr>
    </w:p>
    <w:p>
      <w:pPr>
        <w:ind w:left="706" w:hanging="706"/>
        <w:rPr>
          <w:rFonts w:cs="Arial"/>
          <w:szCs w:val="24"/>
        </w:rPr>
        <w:sectPr>
          <w:headerReference w:type="default" r:id="rId14"/>
          <w:footerReference w:type="default" r:id="rId15"/>
          <w:footnotePr>
            <w:pos w:val="beneathText"/>
          </w:footnotePr>
          <w:pgSz w:w="16837" w:h="11905" w:orient="landscape" w:code="9"/>
          <w:pgMar w:top="1701" w:right="961" w:bottom="1134" w:left="1134" w:header="720" w:footer="720" w:gutter="0"/>
          <w:cols w:space="720"/>
          <w:docGrid w:linePitch="360"/>
        </w:sectPr>
      </w:pPr>
    </w:p>
    <w:tbl>
      <w:tblPr>
        <w:tblW w:w="13811" w:type="dxa"/>
        <w:tblInd w:w="-38" w:type="dxa"/>
        <w:tblLayout w:type="fixed"/>
        <w:tblCellMar>
          <w:left w:w="70" w:type="dxa"/>
          <w:right w:w="70" w:type="dxa"/>
        </w:tblCellMar>
        <w:tblLook w:val="0000" w:firstRow="0" w:lastRow="0" w:firstColumn="0" w:lastColumn="0" w:noHBand="0" w:noVBand="0"/>
      </w:tblPr>
      <w:tblGrid>
        <w:gridCol w:w="3516"/>
        <w:gridCol w:w="172"/>
        <w:gridCol w:w="1090"/>
        <w:gridCol w:w="170"/>
        <w:gridCol w:w="1415"/>
        <w:gridCol w:w="275"/>
        <w:gridCol w:w="1191"/>
        <w:gridCol w:w="171"/>
        <w:gridCol w:w="1068"/>
        <w:gridCol w:w="171"/>
        <w:gridCol w:w="1170"/>
        <w:gridCol w:w="171"/>
        <w:gridCol w:w="1357"/>
        <w:gridCol w:w="284"/>
        <w:gridCol w:w="1302"/>
        <w:gridCol w:w="288"/>
      </w:tblGrid>
      <w:tr>
        <w:trPr>
          <w:trHeight w:val="225"/>
        </w:trPr>
        <w:tc>
          <w:tcPr>
            <w:tcW w:w="11937" w:type="dxa"/>
            <w:gridSpan w:val="13"/>
            <w:tcBorders>
              <w:top w:val="single" w:sz="6" w:space="0" w:color="auto"/>
              <w:left w:val="single" w:sz="6" w:space="0" w:color="auto"/>
              <w:bottom w:val="nil"/>
              <w:right w:val="nil"/>
            </w:tcBorders>
          </w:tcPr>
          <w:p>
            <w:pPr>
              <w:pStyle w:val="Ttulo2"/>
              <w:ind w:left="0"/>
              <w:rPr>
                <w:lang w:eastAsia="pt-BR"/>
              </w:rPr>
            </w:pPr>
            <w:bookmarkStart w:id="6" w:name="_DEMONSTRAÇÃO_DAS_MUTAÇÕES"/>
            <w:bookmarkStart w:id="7" w:name="_Toc41376083"/>
            <w:bookmarkEnd w:id="6"/>
            <w:r>
              <w:rPr>
                <w:lang w:eastAsia="pt-BR"/>
              </w:rPr>
              <w:lastRenderedPageBreak/>
              <w:t>DEMONSTRAÇÃO DAS MUTAÇÕES DO PATRIMÔNIO LÍQUIDO</w:t>
            </w:r>
            <w:bookmarkEnd w:id="7"/>
            <w:r>
              <w:rPr>
                <w:lang w:eastAsia="pt-BR"/>
              </w:rPr>
              <w:t xml:space="preserve"> </w:t>
            </w:r>
          </w:p>
          <w:p>
            <w:pPr>
              <w:rPr>
                <w:rFonts w:cs="Arial"/>
                <w:lang w:eastAsia="pt-BR"/>
              </w:rPr>
            </w:pPr>
            <w:r>
              <w:rPr>
                <w:rFonts w:cs="Arial"/>
                <w:b/>
                <w:sz w:val="20"/>
                <w:lang w:eastAsia="pt-BR"/>
              </w:rPr>
              <w:t>PARA O PERÍODO DE TRÊS MESES FINDOS EM 31 DE MARÇO DE 2020 E 31 DE DEZEMBRO DE 2019</w:t>
            </w:r>
          </w:p>
        </w:tc>
        <w:tc>
          <w:tcPr>
            <w:tcW w:w="284" w:type="dxa"/>
            <w:tcBorders>
              <w:top w:val="single" w:sz="6" w:space="0" w:color="auto"/>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302" w:type="dxa"/>
            <w:tcBorders>
              <w:top w:val="single" w:sz="6" w:space="0" w:color="auto"/>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288" w:type="dxa"/>
            <w:tcBorders>
              <w:top w:val="single" w:sz="6" w:space="0" w:color="auto"/>
              <w:left w:val="nil"/>
              <w:bottom w:val="nil"/>
              <w:right w:val="single" w:sz="6" w:space="0" w:color="auto"/>
            </w:tcBorders>
          </w:tcPr>
          <w:p>
            <w:pPr>
              <w:widowControl/>
              <w:suppressAutoHyphens w:val="0"/>
              <w:autoSpaceDE w:val="0"/>
              <w:autoSpaceDN w:val="0"/>
              <w:adjustRightInd w:val="0"/>
              <w:jc w:val="right"/>
              <w:rPr>
                <w:rFonts w:eastAsia="Times New Roman" w:cs="Arial"/>
                <w:color w:val="000000"/>
                <w:szCs w:val="24"/>
                <w:lang w:eastAsia="pt-BR"/>
              </w:rPr>
            </w:pPr>
          </w:p>
        </w:tc>
      </w:tr>
      <w:tr>
        <w:trPr>
          <w:trHeight w:val="225"/>
        </w:trPr>
        <w:tc>
          <w:tcPr>
            <w:tcW w:w="3516" w:type="dxa"/>
            <w:tcBorders>
              <w:top w:val="nil"/>
              <w:left w:val="single" w:sz="6" w:space="0" w:color="auto"/>
              <w:bottom w:val="nil"/>
              <w:right w:val="nil"/>
            </w:tcBorders>
          </w:tcPr>
          <w:p>
            <w:pPr>
              <w:widowControl/>
              <w:suppressAutoHyphens w:val="0"/>
              <w:autoSpaceDE w:val="0"/>
              <w:autoSpaceDN w:val="0"/>
              <w:adjustRightInd w:val="0"/>
              <w:rPr>
                <w:rFonts w:eastAsia="Times New Roman" w:cs="Arial"/>
                <w:b/>
                <w:bCs/>
                <w:color w:val="000000"/>
                <w:sz w:val="20"/>
                <w:lang w:eastAsia="pt-BR"/>
              </w:rPr>
            </w:pPr>
            <w:r>
              <w:rPr>
                <w:rFonts w:eastAsia="Times New Roman" w:cs="Arial"/>
                <w:b/>
                <w:bCs/>
                <w:color w:val="000000"/>
                <w:sz w:val="20"/>
                <w:lang w:eastAsia="pt-BR"/>
              </w:rPr>
              <w:t>(Em milhares de reais)</w:t>
            </w:r>
          </w:p>
        </w:tc>
        <w:tc>
          <w:tcPr>
            <w:tcW w:w="17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357"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284"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288" w:type="dxa"/>
            <w:tcBorders>
              <w:top w:val="nil"/>
              <w:left w:val="nil"/>
              <w:bottom w:val="nil"/>
              <w:right w:val="single" w:sz="6" w:space="0" w:color="auto"/>
            </w:tcBorders>
          </w:tcPr>
          <w:p>
            <w:pPr>
              <w:widowControl/>
              <w:suppressAutoHyphens w:val="0"/>
              <w:autoSpaceDE w:val="0"/>
              <w:autoSpaceDN w:val="0"/>
              <w:adjustRightInd w:val="0"/>
              <w:jc w:val="right"/>
              <w:rPr>
                <w:rFonts w:eastAsia="Times New Roman" w:cs="Arial"/>
                <w:color w:val="000000"/>
                <w:szCs w:val="24"/>
                <w:lang w:eastAsia="pt-BR"/>
              </w:rPr>
            </w:pPr>
          </w:p>
        </w:tc>
      </w:tr>
      <w:tr>
        <w:trPr>
          <w:trHeight w:val="550"/>
        </w:trPr>
        <w:tc>
          <w:tcPr>
            <w:tcW w:w="3516" w:type="dxa"/>
            <w:tcBorders>
              <w:top w:val="nil"/>
              <w:left w:val="single" w:sz="6" w:space="0" w:color="auto"/>
              <w:bottom w:val="nil"/>
              <w:right w:val="nil"/>
            </w:tcBorders>
          </w:tcPr>
          <w:p>
            <w:pPr>
              <w:widowControl/>
              <w:suppressAutoHyphens w:val="0"/>
              <w:autoSpaceDE w:val="0"/>
              <w:autoSpaceDN w:val="0"/>
              <w:adjustRightInd w:val="0"/>
              <w:jc w:val="right"/>
              <w:rPr>
                <w:rFonts w:eastAsia="Times New Roman" w:cs="Arial"/>
                <w:b/>
                <w:bCs/>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260" w:type="dxa"/>
            <w:gridSpan w:val="2"/>
            <w:tcBorders>
              <w:top w:val="nil"/>
              <w:left w:val="nil"/>
              <w:bottom w:val="single" w:sz="6" w:space="0" w:color="000000"/>
              <w:right w:val="nil"/>
            </w:tcBorders>
            <w:vAlign w:val="bottom"/>
          </w:tcPr>
          <w:p>
            <w:pPr>
              <w:widowControl/>
              <w:suppressAutoHyphens w:val="0"/>
              <w:autoSpaceDE w:val="0"/>
              <w:autoSpaceDN w:val="0"/>
              <w:adjustRightInd w:val="0"/>
              <w:jc w:val="right"/>
              <w:rPr>
                <w:rFonts w:eastAsia="Times New Roman" w:cs="Arial"/>
                <w:b/>
                <w:bCs/>
                <w:color w:val="000000"/>
                <w:sz w:val="20"/>
                <w:lang w:eastAsia="pt-BR"/>
              </w:rPr>
            </w:pPr>
            <w:r>
              <w:rPr>
                <w:rFonts w:eastAsia="Times New Roman" w:cs="Arial"/>
                <w:b/>
                <w:bCs/>
                <w:color w:val="000000"/>
                <w:sz w:val="20"/>
                <w:lang w:eastAsia="pt-BR"/>
              </w:rPr>
              <w:t>Capital Social Subscrito</w:t>
            </w:r>
          </w:p>
        </w:tc>
        <w:tc>
          <w:tcPr>
            <w:tcW w:w="1690"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159"/>
              <w:jc w:val="right"/>
              <w:rPr>
                <w:rFonts w:eastAsia="Times New Roman" w:cs="Arial"/>
                <w:b/>
                <w:bCs/>
                <w:color w:val="000000"/>
                <w:sz w:val="20"/>
                <w:lang w:eastAsia="pt-BR"/>
              </w:rPr>
            </w:pPr>
            <w:r>
              <w:rPr>
                <w:rFonts w:eastAsia="Times New Roman" w:cs="Arial"/>
                <w:b/>
                <w:bCs/>
                <w:color w:val="000000"/>
                <w:sz w:val="20"/>
                <w:lang w:eastAsia="pt-BR"/>
              </w:rPr>
              <w:t>Reserva de Reavaliação</w:t>
            </w:r>
          </w:p>
        </w:tc>
        <w:tc>
          <w:tcPr>
            <w:tcW w:w="1362"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103"/>
              <w:jc w:val="right"/>
              <w:rPr>
                <w:rFonts w:eastAsia="Times New Roman" w:cs="Arial"/>
                <w:b/>
                <w:bCs/>
                <w:color w:val="000000"/>
                <w:sz w:val="20"/>
                <w:lang w:eastAsia="pt-BR"/>
              </w:rPr>
            </w:pPr>
            <w:r>
              <w:rPr>
                <w:rFonts w:eastAsia="Times New Roman" w:cs="Arial"/>
                <w:b/>
                <w:bCs/>
                <w:color w:val="000000"/>
                <w:sz w:val="20"/>
                <w:lang w:eastAsia="pt-BR"/>
              </w:rPr>
              <w:t>Reserva Legal</w:t>
            </w:r>
          </w:p>
        </w:tc>
        <w:tc>
          <w:tcPr>
            <w:tcW w:w="1239"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132"/>
              <w:jc w:val="right"/>
              <w:rPr>
                <w:rFonts w:eastAsia="Times New Roman" w:cs="Arial"/>
                <w:b/>
                <w:bCs/>
                <w:color w:val="000000"/>
                <w:sz w:val="20"/>
                <w:lang w:eastAsia="pt-BR"/>
              </w:rPr>
            </w:pPr>
            <w:r>
              <w:rPr>
                <w:rFonts w:eastAsia="Times New Roman" w:cs="Arial"/>
                <w:b/>
                <w:bCs/>
                <w:color w:val="000000"/>
                <w:sz w:val="20"/>
                <w:lang w:eastAsia="pt-BR"/>
              </w:rPr>
              <w:t>Reserva Especial</w:t>
            </w:r>
          </w:p>
        </w:tc>
        <w:tc>
          <w:tcPr>
            <w:tcW w:w="1341"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132"/>
              <w:jc w:val="right"/>
              <w:rPr>
                <w:rFonts w:eastAsia="Times New Roman" w:cs="Arial"/>
                <w:b/>
                <w:bCs/>
                <w:color w:val="000000"/>
                <w:sz w:val="20"/>
                <w:lang w:eastAsia="pt-BR"/>
              </w:rPr>
            </w:pPr>
            <w:r>
              <w:rPr>
                <w:rFonts w:eastAsia="Times New Roman" w:cs="Arial"/>
                <w:b/>
                <w:bCs/>
                <w:color w:val="000000"/>
                <w:sz w:val="20"/>
                <w:lang w:eastAsia="pt-BR"/>
              </w:rPr>
              <w:t>Reserva Estatutária</w:t>
            </w:r>
          </w:p>
        </w:tc>
        <w:tc>
          <w:tcPr>
            <w:tcW w:w="1641" w:type="dxa"/>
            <w:gridSpan w:val="2"/>
            <w:tcBorders>
              <w:top w:val="nil"/>
              <w:left w:val="nil"/>
              <w:bottom w:val="single" w:sz="6" w:space="0" w:color="000000"/>
              <w:right w:val="nil"/>
            </w:tcBorders>
            <w:vAlign w:val="bottom"/>
          </w:tcPr>
          <w:p>
            <w:pPr>
              <w:widowControl/>
              <w:suppressAutoHyphens w:val="0"/>
              <w:autoSpaceDE w:val="0"/>
              <w:autoSpaceDN w:val="0"/>
              <w:adjustRightInd w:val="0"/>
              <w:ind w:right="218"/>
              <w:jc w:val="right"/>
              <w:rPr>
                <w:rFonts w:eastAsia="Times New Roman" w:cs="Arial"/>
                <w:b/>
                <w:bCs/>
                <w:color w:val="000000"/>
                <w:sz w:val="20"/>
                <w:lang w:eastAsia="pt-BR"/>
              </w:rPr>
            </w:pPr>
            <w:r>
              <w:rPr>
                <w:rFonts w:eastAsia="Times New Roman" w:cs="Arial"/>
                <w:b/>
                <w:bCs/>
                <w:color w:val="000000"/>
                <w:sz w:val="20"/>
                <w:lang w:eastAsia="pt-BR"/>
              </w:rPr>
              <w:t>Lucros ou Prejuízos Acumulados</w:t>
            </w:r>
          </w:p>
        </w:tc>
        <w:tc>
          <w:tcPr>
            <w:tcW w:w="1590" w:type="dxa"/>
            <w:gridSpan w:val="2"/>
            <w:tcBorders>
              <w:top w:val="nil"/>
              <w:left w:val="nil"/>
              <w:bottom w:val="single" w:sz="6" w:space="0" w:color="000000"/>
              <w:right w:val="single" w:sz="6" w:space="0" w:color="auto"/>
            </w:tcBorders>
            <w:vAlign w:val="bottom"/>
          </w:tcPr>
          <w:p>
            <w:pPr>
              <w:widowControl/>
              <w:suppressAutoHyphens w:val="0"/>
              <w:autoSpaceDE w:val="0"/>
              <w:autoSpaceDN w:val="0"/>
              <w:adjustRightInd w:val="0"/>
              <w:ind w:right="218"/>
              <w:jc w:val="right"/>
              <w:rPr>
                <w:rFonts w:eastAsia="Times New Roman" w:cs="Arial"/>
                <w:b/>
                <w:bCs/>
                <w:color w:val="000000"/>
                <w:sz w:val="20"/>
                <w:lang w:eastAsia="pt-BR"/>
              </w:rPr>
            </w:pPr>
            <w:r>
              <w:rPr>
                <w:rFonts w:eastAsia="Times New Roman" w:cs="Arial"/>
                <w:b/>
                <w:bCs/>
                <w:color w:val="000000"/>
                <w:sz w:val="20"/>
                <w:lang w:eastAsia="pt-BR"/>
              </w:rPr>
              <w:t>Total</w:t>
            </w:r>
          </w:p>
        </w:tc>
      </w:tr>
      <w:tr>
        <w:trPr>
          <w:trHeight w:val="225"/>
        </w:trPr>
        <w:tc>
          <w:tcPr>
            <w:tcW w:w="3516" w:type="dxa"/>
            <w:tcBorders>
              <w:top w:val="nil"/>
              <w:left w:val="single" w:sz="6" w:space="0" w:color="auto"/>
              <w:bottom w:val="nil"/>
              <w:right w:val="nil"/>
            </w:tcBorders>
          </w:tcPr>
          <w:p>
            <w:pPr>
              <w:widowControl/>
              <w:suppressAutoHyphens w:val="0"/>
              <w:autoSpaceDE w:val="0"/>
              <w:autoSpaceDN w:val="0"/>
              <w:adjustRightInd w:val="0"/>
              <w:rPr>
                <w:rFonts w:eastAsia="Times New Roman" w:cs="Arial"/>
                <w:b/>
                <w:bCs/>
                <w:color w:val="000000"/>
                <w:sz w:val="20"/>
                <w:lang w:eastAsia="pt-BR"/>
              </w:rPr>
            </w:pPr>
            <w:r>
              <w:rPr>
                <w:rFonts w:eastAsia="Times New Roman" w:cs="Arial"/>
                <w:b/>
                <w:bCs/>
                <w:color w:val="000000"/>
                <w:sz w:val="20"/>
                <w:lang w:eastAsia="pt-BR"/>
              </w:rPr>
              <w:t>EM 31 DE DEZEMBRO DE 2019</w:t>
            </w:r>
          </w:p>
        </w:tc>
        <w:tc>
          <w:tcPr>
            <w:tcW w:w="17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137.041</w:t>
            </w:r>
          </w:p>
        </w:tc>
        <w:tc>
          <w:tcPr>
            <w:tcW w:w="170"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415"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16.244</w:t>
            </w:r>
          </w:p>
        </w:tc>
        <w:tc>
          <w:tcPr>
            <w:tcW w:w="275"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191"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3.513</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068"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3.020</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17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9.693</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357"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284"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302"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169.511</w:t>
            </w:r>
          </w:p>
        </w:tc>
        <w:tc>
          <w:tcPr>
            <w:tcW w:w="288" w:type="dxa"/>
            <w:tcBorders>
              <w:top w:val="nil"/>
              <w:left w:val="nil"/>
              <w:bottom w:val="nil"/>
              <w:right w:val="single" w:sz="6" w:space="0" w:color="auto"/>
            </w:tcBorders>
          </w:tcPr>
          <w:p>
            <w:pPr>
              <w:widowControl/>
              <w:suppressAutoHyphens w:val="0"/>
              <w:autoSpaceDE w:val="0"/>
              <w:autoSpaceDN w:val="0"/>
              <w:adjustRightInd w:val="0"/>
              <w:jc w:val="right"/>
              <w:rPr>
                <w:rFonts w:eastAsia="Times New Roman" w:cs="Arial"/>
                <w:b/>
                <w:color w:val="000000"/>
                <w:sz w:val="20"/>
                <w:lang w:eastAsia="pt-BR"/>
              </w:rPr>
            </w:pPr>
          </w:p>
        </w:tc>
      </w:tr>
      <w:tr>
        <w:trPr>
          <w:trHeight w:val="225"/>
        </w:trPr>
        <w:tc>
          <w:tcPr>
            <w:tcW w:w="4778" w:type="dxa"/>
            <w:gridSpan w:val="3"/>
            <w:tcBorders>
              <w:top w:val="nil"/>
              <w:left w:val="single" w:sz="6" w:space="0" w:color="auto"/>
              <w:bottom w:val="nil"/>
              <w:right w:val="nil"/>
            </w:tcBorders>
          </w:tcPr>
          <w:p>
            <w:pPr>
              <w:widowControl/>
              <w:suppressAutoHyphens w:val="0"/>
              <w:autoSpaceDE w:val="0"/>
              <w:autoSpaceDN w:val="0"/>
              <w:adjustRightInd w:val="0"/>
              <w:rPr>
                <w:rFonts w:eastAsia="Times New Roman" w:cs="Arial"/>
                <w:color w:val="000000"/>
                <w:sz w:val="20"/>
                <w:lang w:eastAsia="pt-BR"/>
              </w:rPr>
            </w:pPr>
            <w:r>
              <w:rPr>
                <w:rFonts w:eastAsia="Times New Roman" w:cs="Arial"/>
                <w:color w:val="000000"/>
                <w:sz w:val="20"/>
                <w:lang w:eastAsia="pt-BR"/>
              </w:rPr>
              <w:t>Realização da reserva de reavaliação</w:t>
            </w:r>
          </w:p>
        </w:tc>
        <w:tc>
          <w:tcPr>
            <w:tcW w:w="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(142)</w:t>
            </w:r>
          </w:p>
        </w:tc>
        <w:tc>
          <w:tcPr>
            <w:tcW w:w="27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357"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142</w:t>
            </w:r>
          </w:p>
        </w:tc>
        <w:tc>
          <w:tcPr>
            <w:tcW w:w="284"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ind w:right="-70"/>
              <w:jc w:val="right"/>
              <w:rPr>
                <w:rFonts w:eastAsia="Times New Roman" w:cs="Arial"/>
                <w:color w:val="000000"/>
                <w:sz w:val="20"/>
                <w:lang w:eastAsia="pt-BR"/>
              </w:rPr>
            </w:pPr>
          </w:p>
        </w:tc>
        <w:tc>
          <w:tcPr>
            <w:tcW w:w="288" w:type="dxa"/>
            <w:tcBorders>
              <w:top w:val="nil"/>
              <w:left w:val="nil"/>
              <w:bottom w:val="nil"/>
              <w:right w:val="single" w:sz="6" w:space="0" w:color="auto"/>
            </w:tcBorders>
          </w:tcPr>
          <w:p>
            <w:pPr>
              <w:widowControl/>
              <w:suppressAutoHyphens w:val="0"/>
              <w:autoSpaceDE w:val="0"/>
              <w:autoSpaceDN w:val="0"/>
              <w:adjustRightInd w:val="0"/>
              <w:jc w:val="right"/>
              <w:rPr>
                <w:rFonts w:eastAsia="Times New Roman" w:cs="Arial"/>
                <w:color w:val="000000"/>
                <w:sz w:val="20"/>
                <w:lang w:eastAsia="pt-BR"/>
              </w:rPr>
            </w:pPr>
          </w:p>
        </w:tc>
      </w:tr>
      <w:tr>
        <w:trPr>
          <w:trHeight w:val="216"/>
        </w:trPr>
        <w:tc>
          <w:tcPr>
            <w:tcW w:w="3516" w:type="dxa"/>
            <w:tcBorders>
              <w:top w:val="nil"/>
              <w:left w:val="single" w:sz="6" w:space="0" w:color="auto"/>
              <w:bottom w:val="nil"/>
              <w:right w:val="nil"/>
            </w:tcBorders>
          </w:tcPr>
          <w:p>
            <w:pPr>
              <w:widowControl/>
              <w:suppressAutoHyphens w:val="0"/>
              <w:autoSpaceDE w:val="0"/>
              <w:autoSpaceDN w:val="0"/>
              <w:adjustRightInd w:val="0"/>
              <w:rPr>
                <w:rFonts w:eastAsia="Times New Roman" w:cs="Arial"/>
                <w:color w:val="000000"/>
                <w:sz w:val="20"/>
                <w:lang w:eastAsia="pt-BR"/>
              </w:rPr>
            </w:pPr>
            <w:r>
              <w:rPr>
                <w:rFonts w:eastAsia="Times New Roman" w:cs="Arial"/>
                <w:color w:val="000000"/>
                <w:sz w:val="20"/>
                <w:lang w:eastAsia="pt-BR"/>
              </w:rPr>
              <w:t>Resultado líquido do período</w:t>
            </w:r>
          </w:p>
        </w:tc>
        <w:tc>
          <w:tcPr>
            <w:tcW w:w="17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357" w:type="dxa"/>
            <w:tcBorders>
              <w:top w:val="nil"/>
              <w:left w:val="nil"/>
              <w:bottom w:val="nil"/>
              <w:right w:val="nil"/>
            </w:tcBorders>
          </w:tcPr>
          <w:p>
            <w:pPr>
              <w:widowControl/>
              <w:suppressAutoHyphens w:val="0"/>
              <w:autoSpaceDE w:val="0"/>
              <w:autoSpaceDN w:val="0"/>
              <w:adjustRightInd w:val="0"/>
              <w:ind w:right="-70"/>
              <w:jc w:val="right"/>
              <w:rPr>
                <w:rFonts w:eastAsia="Times New Roman" w:cs="Arial"/>
                <w:color w:val="000000"/>
                <w:sz w:val="20"/>
                <w:lang w:eastAsia="pt-BR"/>
              </w:rPr>
            </w:pPr>
            <w:r>
              <w:rPr>
                <w:rFonts w:eastAsia="Times New Roman" w:cs="Arial"/>
                <w:color w:val="000000"/>
                <w:sz w:val="20"/>
                <w:lang w:eastAsia="pt-BR"/>
              </w:rPr>
              <w:t>(5.917)</w:t>
            </w:r>
          </w:p>
        </w:tc>
        <w:tc>
          <w:tcPr>
            <w:tcW w:w="284"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(5.917)</w:t>
            </w:r>
          </w:p>
        </w:tc>
        <w:tc>
          <w:tcPr>
            <w:tcW w:w="288" w:type="dxa"/>
            <w:tcBorders>
              <w:top w:val="nil"/>
              <w:left w:val="nil"/>
              <w:bottom w:val="nil"/>
              <w:right w:val="single" w:sz="6" w:space="0" w:color="auto"/>
            </w:tcBorders>
          </w:tcPr>
          <w:p>
            <w:pPr>
              <w:widowControl/>
              <w:suppressAutoHyphens w:val="0"/>
              <w:autoSpaceDE w:val="0"/>
              <w:autoSpaceDN w:val="0"/>
              <w:adjustRightInd w:val="0"/>
              <w:jc w:val="right"/>
              <w:rPr>
                <w:rFonts w:eastAsia="Times New Roman" w:cs="Arial"/>
                <w:color w:val="000000"/>
                <w:sz w:val="20"/>
                <w:lang w:eastAsia="pt-BR"/>
              </w:rPr>
            </w:pPr>
          </w:p>
        </w:tc>
      </w:tr>
      <w:tr>
        <w:trPr>
          <w:trHeight w:val="216"/>
        </w:trPr>
        <w:tc>
          <w:tcPr>
            <w:tcW w:w="3516" w:type="dxa"/>
            <w:tcBorders>
              <w:top w:val="nil"/>
              <w:left w:val="single" w:sz="6" w:space="0" w:color="auto"/>
              <w:bottom w:val="nil"/>
              <w:right w:val="nil"/>
            </w:tcBorders>
          </w:tcPr>
          <w:p>
            <w:pPr>
              <w:widowControl/>
              <w:suppressAutoHyphens w:val="0"/>
              <w:autoSpaceDE w:val="0"/>
              <w:autoSpaceDN w:val="0"/>
              <w:adjustRightInd w:val="0"/>
              <w:rPr>
                <w:rFonts w:eastAsia="Times New Roman" w:cs="Arial"/>
                <w:color w:val="000000"/>
                <w:sz w:val="20"/>
                <w:lang w:eastAsia="pt-BR"/>
              </w:rPr>
            </w:pPr>
            <w:r>
              <w:rPr>
                <w:rFonts w:eastAsia="Times New Roman" w:cs="Arial"/>
                <w:color w:val="000000"/>
                <w:sz w:val="20"/>
                <w:lang w:eastAsia="pt-BR"/>
              </w:rPr>
              <w:t>Atualização da reserva especial</w:t>
            </w:r>
          </w:p>
        </w:tc>
        <w:tc>
          <w:tcPr>
            <w:tcW w:w="17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41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19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068"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31</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170"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357"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284"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30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r>
              <w:rPr>
                <w:rFonts w:eastAsia="Times New Roman" w:cs="Arial"/>
                <w:color w:val="000000"/>
                <w:sz w:val="20"/>
                <w:lang w:eastAsia="pt-BR"/>
              </w:rPr>
              <w:t>31</w:t>
            </w:r>
          </w:p>
        </w:tc>
        <w:tc>
          <w:tcPr>
            <w:tcW w:w="288" w:type="dxa"/>
            <w:tcBorders>
              <w:top w:val="nil"/>
              <w:left w:val="nil"/>
              <w:bottom w:val="nil"/>
              <w:right w:val="single" w:sz="6" w:space="0" w:color="auto"/>
            </w:tcBorders>
          </w:tcPr>
          <w:p>
            <w:pPr>
              <w:widowControl/>
              <w:suppressAutoHyphens w:val="0"/>
              <w:autoSpaceDE w:val="0"/>
              <w:autoSpaceDN w:val="0"/>
              <w:adjustRightInd w:val="0"/>
              <w:jc w:val="right"/>
              <w:rPr>
                <w:rFonts w:eastAsia="Times New Roman" w:cs="Arial"/>
                <w:color w:val="000000"/>
                <w:sz w:val="20"/>
                <w:lang w:eastAsia="pt-BR"/>
              </w:rPr>
            </w:pPr>
          </w:p>
        </w:tc>
      </w:tr>
      <w:tr>
        <w:trPr>
          <w:trHeight w:val="225"/>
        </w:trPr>
        <w:tc>
          <w:tcPr>
            <w:tcW w:w="3516" w:type="dxa"/>
            <w:tcBorders>
              <w:top w:val="nil"/>
              <w:left w:val="single" w:sz="6" w:space="0" w:color="auto"/>
              <w:bottom w:val="nil"/>
              <w:right w:val="nil"/>
            </w:tcBorders>
          </w:tcPr>
          <w:p>
            <w:pPr>
              <w:widowControl/>
              <w:suppressAutoHyphens w:val="0"/>
              <w:autoSpaceDE w:val="0"/>
              <w:autoSpaceDN w:val="0"/>
              <w:adjustRightInd w:val="0"/>
              <w:rPr>
                <w:rFonts w:eastAsia="Times New Roman" w:cs="Arial"/>
                <w:b/>
                <w:bCs/>
                <w:color w:val="000000"/>
                <w:sz w:val="20"/>
                <w:lang w:eastAsia="pt-BR"/>
              </w:rPr>
            </w:pPr>
            <w:r>
              <w:rPr>
                <w:rFonts w:eastAsia="Times New Roman" w:cs="Arial"/>
                <w:b/>
                <w:bCs/>
                <w:color w:val="000000"/>
                <w:sz w:val="20"/>
                <w:lang w:eastAsia="pt-BR"/>
              </w:rPr>
              <w:t>EM 31 DE MARÇO DE 2020</w:t>
            </w:r>
          </w:p>
        </w:tc>
        <w:tc>
          <w:tcPr>
            <w:tcW w:w="172" w:type="dxa"/>
            <w:tcBorders>
              <w:top w:val="nil"/>
              <w:left w:val="nil"/>
              <w:bottom w:val="nil"/>
              <w:right w:val="nil"/>
            </w:tcBorders>
          </w:tcPr>
          <w:p>
            <w:pPr>
              <w:widowControl/>
              <w:suppressAutoHyphens w:val="0"/>
              <w:autoSpaceDE w:val="0"/>
              <w:autoSpaceDN w:val="0"/>
              <w:adjustRightInd w:val="0"/>
              <w:jc w:val="right"/>
              <w:rPr>
                <w:rFonts w:eastAsia="Times New Roman" w:cs="Arial"/>
                <w:color w:val="000000"/>
                <w:sz w:val="20"/>
                <w:lang w:eastAsia="pt-BR"/>
              </w:rPr>
            </w:pPr>
          </w:p>
        </w:tc>
        <w:tc>
          <w:tcPr>
            <w:tcW w:w="109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137.041</w:t>
            </w:r>
          </w:p>
        </w:tc>
        <w:tc>
          <w:tcPr>
            <w:tcW w:w="170"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415"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16.102</w:t>
            </w:r>
          </w:p>
        </w:tc>
        <w:tc>
          <w:tcPr>
            <w:tcW w:w="275"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191"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3.513</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068"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3.051</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170"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9.693</w:t>
            </w:r>
          </w:p>
        </w:tc>
        <w:tc>
          <w:tcPr>
            <w:tcW w:w="171"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357"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(5.775)</w:t>
            </w:r>
          </w:p>
        </w:tc>
        <w:tc>
          <w:tcPr>
            <w:tcW w:w="284" w:type="dxa"/>
            <w:tcBorders>
              <w:top w:val="nil"/>
              <w:left w:val="nil"/>
              <w:bottom w:val="nil"/>
              <w:right w:val="nil"/>
            </w:tcBorders>
          </w:tcPr>
          <w:p>
            <w:pPr>
              <w:widowControl/>
              <w:suppressAutoHyphens w:val="0"/>
              <w:autoSpaceDE w:val="0"/>
              <w:autoSpaceDN w:val="0"/>
              <w:adjustRightInd w:val="0"/>
              <w:jc w:val="right"/>
              <w:rPr>
                <w:rFonts w:eastAsia="Times New Roman" w:cs="Arial"/>
                <w:b/>
                <w:color w:val="000000"/>
                <w:sz w:val="20"/>
                <w:lang w:eastAsia="pt-BR"/>
              </w:rPr>
            </w:pPr>
          </w:p>
        </w:tc>
        <w:tc>
          <w:tcPr>
            <w:tcW w:w="1302"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eastAsia="Times New Roman" w:cs="Arial"/>
                <w:b/>
                <w:color w:val="000000"/>
                <w:sz w:val="20"/>
                <w:lang w:eastAsia="pt-BR"/>
              </w:rPr>
            </w:pPr>
            <w:r>
              <w:rPr>
                <w:rFonts w:eastAsia="Times New Roman" w:cs="Arial"/>
                <w:b/>
                <w:color w:val="000000"/>
                <w:sz w:val="20"/>
                <w:lang w:eastAsia="pt-BR"/>
              </w:rPr>
              <w:t>163.625</w:t>
            </w:r>
          </w:p>
        </w:tc>
        <w:tc>
          <w:tcPr>
            <w:tcW w:w="288" w:type="dxa"/>
            <w:tcBorders>
              <w:top w:val="nil"/>
              <w:left w:val="nil"/>
              <w:bottom w:val="nil"/>
              <w:right w:val="single" w:sz="6" w:space="0" w:color="auto"/>
            </w:tcBorders>
          </w:tcPr>
          <w:p>
            <w:pPr>
              <w:widowControl/>
              <w:suppressAutoHyphens w:val="0"/>
              <w:autoSpaceDE w:val="0"/>
              <w:autoSpaceDN w:val="0"/>
              <w:adjustRightInd w:val="0"/>
              <w:jc w:val="right"/>
              <w:rPr>
                <w:rFonts w:eastAsia="Times New Roman" w:cs="Arial"/>
                <w:b/>
                <w:color w:val="000000"/>
                <w:sz w:val="20"/>
                <w:lang w:eastAsia="pt-BR"/>
              </w:rPr>
            </w:pPr>
          </w:p>
        </w:tc>
      </w:tr>
      <w:tr>
        <w:trPr>
          <w:trHeight w:val="225"/>
        </w:trPr>
        <w:tc>
          <w:tcPr>
            <w:tcW w:w="3516" w:type="dxa"/>
            <w:tcBorders>
              <w:top w:val="nil"/>
              <w:left w:val="single" w:sz="6" w:space="0" w:color="auto"/>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2"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090"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0"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415"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275"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191"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068"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170"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357"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284"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1302" w:type="dxa"/>
            <w:tcBorders>
              <w:top w:val="nil"/>
              <w:left w:val="nil"/>
              <w:bottom w:val="single" w:sz="6" w:space="0" w:color="auto"/>
              <w:right w:val="nil"/>
            </w:tcBorders>
          </w:tcPr>
          <w:p>
            <w:pPr>
              <w:widowControl/>
              <w:suppressAutoHyphens w:val="0"/>
              <w:autoSpaceDE w:val="0"/>
              <w:autoSpaceDN w:val="0"/>
              <w:adjustRightInd w:val="0"/>
              <w:jc w:val="right"/>
              <w:rPr>
                <w:rFonts w:eastAsia="Times New Roman" w:cs="Arial"/>
                <w:color w:val="000000"/>
                <w:szCs w:val="24"/>
                <w:lang w:eastAsia="pt-BR"/>
              </w:rPr>
            </w:pPr>
          </w:p>
        </w:tc>
        <w:tc>
          <w:tcPr>
            <w:tcW w:w="288" w:type="dxa"/>
            <w:tcBorders>
              <w:top w:val="nil"/>
              <w:left w:val="nil"/>
              <w:bottom w:val="single" w:sz="6" w:space="0" w:color="auto"/>
              <w:right w:val="single" w:sz="6" w:space="0" w:color="auto"/>
            </w:tcBorders>
          </w:tcPr>
          <w:p>
            <w:pPr>
              <w:widowControl/>
              <w:suppressAutoHyphens w:val="0"/>
              <w:autoSpaceDE w:val="0"/>
              <w:autoSpaceDN w:val="0"/>
              <w:adjustRightInd w:val="0"/>
              <w:jc w:val="right"/>
              <w:rPr>
                <w:rFonts w:eastAsia="Times New Roman" w:cs="Arial"/>
                <w:color w:val="000000"/>
                <w:szCs w:val="24"/>
                <w:lang w:eastAsia="pt-BR"/>
              </w:rPr>
            </w:pPr>
          </w:p>
        </w:tc>
      </w:tr>
    </w:tbl>
    <w:p>
      <w:pPr>
        <w:rPr>
          <w:rFonts w:cs="Arial"/>
          <w:szCs w:val="24"/>
        </w:rPr>
      </w:pPr>
    </w:p>
    <w:p>
      <w:pPr>
        <w:ind w:left="-1134"/>
        <w:rPr>
          <w:rFonts w:cs="Arial"/>
          <w:szCs w:val="24"/>
        </w:rPr>
      </w:pPr>
    </w:p>
    <w:p>
      <w:pPr>
        <w:ind w:left="706" w:hanging="706"/>
        <w:rPr>
          <w:rFonts w:cs="Arial"/>
          <w:sz w:val="20"/>
        </w:rPr>
        <w:sectPr>
          <w:footerReference w:type="default" r:id="rId16"/>
          <w:footnotePr>
            <w:pos w:val="beneathText"/>
          </w:footnotePr>
          <w:pgSz w:w="16837" w:h="11905" w:orient="landscape" w:code="9"/>
          <w:pgMar w:top="1701" w:right="1134" w:bottom="1134" w:left="1134" w:header="720" w:footer="720" w:gutter="0"/>
          <w:cols w:space="720"/>
          <w:docGrid w:linePitch="360"/>
        </w:sectPr>
      </w:pPr>
      <w:r>
        <w:rPr>
          <w:rFonts w:cs="Arial"/>
          <w:b/>
          <w:bCs/>
          <w:color w:val="000000"/>
          <w:sz w:val="16"/>
          <w:szCs w:val="16"/>
        </w:rPr>
        <w:t xml:space="preserve">   </w:t>
      </w:r>
      <w:r>
        <w:rPr>
          <w:rFonts w:cs="Arial"/>
          <w:sz w:val="20"/>
        </w:rPr>
        <w:t>As notas explicativas integram as demonstrações contábeis intermediárias.</w:t>
      </w:r>
    </w:p>
    <w:tbl>
      <w:tblPr>
        <w:tblW w:w="9659" w:type="dxa"/>
        <w:tblLayout w:type="fixed"/>
        <w:tblCellMar>
          <w:left w:w="0" w:type="dxa"/>
          <w:right w:w="0" w:type="dxa"/>
        </w:tblCellMar>
        <w:tblLook w:val="0000" w:firstRow="0" w:lastRow="0" w:firstColumn="0" w:lastColumn="0" w:noHBand="0" w:noVBand="0"/>
      </w:tblPr>
      <w:tblGrid>
        <w:gridCol w:w="6407"/>
        <w:gridCol w:w="65"/>
        <w:gridCol w:w="1422"/>
        <w:gridCol w:w="59"/>
        <w:gridCol w:w="1647"/>
        <w:gridCol w:w="59"/>
      </w:tblGrid>
      <w:tr>
        <w:trPr>
          <w:gridAfter w:val="1"/>
          <w:wAfter w:w="59" w:type="dxa"/>
          <w:trHeight w:val="240"/>
        </w:trPr>
        <w:tc>
          <w:tcPr>
            <w:tcW w:w="9600" w:type="dxa"/>
            <w:gridSpan w:val="5"/>
            <w:tcBorders>
              <w:top w:val="nil"/>
              <w:left w:val="nil"/>
              <w:bottom w:val="nil"/>
              <w:right w:val="nil"/>
            </w:tcBorders>
            <w:noWrap/>
            <w:tcMar>
              <w:top w:w="15" w:type="dxa"/>
              <w:left w:w="15" w:type="dxa"/>
              <w:bottom w:w="0" w:type="dxa"/>
              <w:right w:w="15" w:type="dxa"/>
            </w:tcMar>
            <w:vAlign w:val="center"/>
          </w:tcPr>
          <w:p>
            <w:pPr>
              <w:pStyle w:val="Ttulo1"/>
              <w:rPr>
                <w:rFonts w:cs="Arial"/>
              </w:rPr>
            </w:pPr>
          </w:p>
          <w:p>
            <w:pPr>
              <w:pStyle w:val="Ttulo2"/>
              <w:ind w:left="0"/>
            </w:pPr>
            <w:bookmarkStart w:id="8" w:name="_DEMONSTRAÇÃO_DO_FLUXO"/>
            <w:bookmarkStart w:id="9" w:name="_Toc41376084"/>
            <w:bookmarkEnd w:id="8"/>
            <w:r>
              <w:t>DEMONSTRAÇÃO DO FLUXO DE CAIXA MÉTODO INDIRETO</w:t>
            </w:r>
            <w:bookmarkEnd w:id="9"/>
          </w:p>
          <w:p>
            <w:pPr>
              <w:rPr>
                <w:rFonts w:cs="Arial"/>
              </w:rPr>
            </w:pPr>
            <w:r>
              <w:rPr>
                <w:rFonts w:cs="Arial"/>
                <w:b/>
                <w:sz w:val="20"/>
              </w:rPr>
              <w:t>PARA O PERÍODO DE TRÊS MESES FINDOS EM 31 DE MARÇO DE 2020 E 2019</w:t>
            </w:r>
          </w:p>
          <w:p>
            <w:pPr>
              <w:rPr>
                <w:rFonts w:cs="Arial"/>
              </w:rPr>
            </w:pP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cs="Arial"/>
                <w:b/>
                <w:bCs/>
                <w:sz w:val="20"/>
              </w:rPr>
            </w:pPr>
            <w:r>
              <w:rPr>
                <w:rFonts w:cs="Arial"/>
                <w:b/>
                <w:bCs/>
                <w:sz w:val="20"/>
              </w:rPr>
              <w:t>(Em milhares de reais)</w:t>
            </w:r>
          </w:p>
        </w:tc>
        <w:tc>
          <w:tcPr>
            <w:tcW w:w="65" w:type="dxa"/>
            <w:tcBorders>
              <w:top w:val="nil"/>
              <w:left w:val="nil"/>
              <w:bottom w:val="nil"/>
              <w:right w:val="nil"/>
            </w:tcBorders>
            <w:noWrap/>
            <w:tcMar>
              <w:top w:w="15" w:type="dxa"/>
              <w:left w:w="15" w:type="dxa"/>
              <w:bottom w:w="0" w:type="dxa"/>
              <w:right w:w="15" w:type="dxa"/>
            </w:tcMar>
            <w:vAlign w:val="bottom"/>
          </w:tcPr>
          <w:p>
            <w:pPr>
              <w:jc w:val="right"/>
              <w:rPr>
                <w:rFonts w:cs="Arial"/>
                <w:sz w:val="20"/>
              </w:rPr>
            </w:pPr>
          </w:p>
        </w:tc>
        <w:tc>
          <w:tcPr>
            <w:tcW w:w="1422" w:type="dxa"/>
            <w:tcBorders>
              <w:top w:val="nil"/>
              <w:left w:val="nil"/>
              <w:bottom w:val="single" w:sz="4" w:space="0" w:color="000000"/>
              <w:right w:val="nil"/>
            </w:tcBorders>
            <w:vAlign w:val="bottom"/>
          </w:tcPr>
          <w:p>
            <w:pPr>
              <w:jc w:val="right"/>
              <w:rPr>
                <w:rFonts w:cs="Arial"/>
                <w:b/>
                <w:bCs/>
                <w:sz w:val="20"/>
              </w:rPr>
            </w:pPr>
            <w:r>
              <w:rPr>
                <w:rFonts w:cs="Arial"/>
                <w:b/>
                <w:bCs/>
                <w:sz w:val="20"/>
              </w:rPr>
              <w:t>31.03.2020</w:t>
            </w:r>
          </w:p>
        </w:tc>
        <w:tc>
          <w:tcPr>
            <w:tcW w:w="59" w:type="dxa"/>
            <w:tcBorders>
              <w:top w:val="nil"/>
              <w:left w:val="nil"/>
              <w:right w:val="nil"/>
            </w:tcBorders>
          </w:tcPr>
          <w:p>
            <w:pPr>
              <w:jc w:val="right"/>
              <w:rPr>
                <w:rFonts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bottom"/>
          </w:tcPr>
          <w:p>
            <w:pPr>
              <w:jc w:val="right"/>
              <w:rPr>
                <w:rFonts w:cs="Arial"/>
                <w:b/>
                <w:bCs/>
                <w:sz w:val="20"/>
              </w:rPr>
            </w:pPr>
            <w:r>
              <w:rPr>
                <w:rFonts w:cs="Arial"/>
                <w:b/>
                <w:bCs/>
                <w:sz w:val="20"/>
              </w:rPr>
              <w:t>31.03.2019</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Atividades operacionais</w:t>
            </w:r>
          </w:p>
        </w:tc>
        <w:tc>
          <w:tcPr>
            <w:tcW w:w="65" w:type="dxa"/>
            <w:tcBorders>
              <w:top w:val="nil"/>
              <w:left w:val="nil"/>
              <w:bottom w:val="nil"/>
              <w:right w:val="nil"/>
            </w:tcBorders>
            <w:noWrap/>
            <w:tcMar>
              <w:top w:w="15" w:type="dxa"/>
              <w:left w:w="15" w:type="dxa"/>
              <w:bottom w:w="0" w:type="dxa"/>
              <w:right w:w="15" w:type="dxa"/>
            </w:tcMar>
            <w:vAlign w:val="bottom"/>
          </w:tcPr>
          <w:p>
            <w:pPr>
              <w:rPr>
                <w:rFonts w:cs="Arial"/>
                <w:sz w:val="20"/>
              </w:rPr>
            </w:pPr>
          </w:p>
        </w:tc>
        <w:tc>
          <w:tcPr>
            <w:tcW w:w="1422" w:type="dxa"/>
            <w:tcBorders>
              <w:top w:val="nil"/>
              <w:left w:val="nil"/>
              <w:bottom w:val="nil"/>
              <w:right w:val="nil"/>
            </w:tcBorders>
            <w:vAlign w:val="bottom"/>
          </w:tcPr>
          <w:p>
            <w:pPr>
              <w:rPr>
                <w:rFonts w:cs="Arial"/>
                <w:sz w:val="20"/>
              </w:rPr>
            </w:pPr>
          </w:p>
        </w:tc>
        <w:tc>
          <w:tcPr>
            <w:tcW w:w="59" w:type="dxa"/>
            <w:tcBorders>
              <w:left w:val="nil"/>
              <w:bottom w:val="nil"/>
              <w:right w:val="nil"/>
            </w:tcBorders>
          </w:tcPr>
          <w:p>
            <w:pPr>
              <w:rPr>
                <w:rFonts w:cs="Arial"/>
                <w:sz w:val="20"/>
              </w:rPr>
            </w:pPr>
          </w:p>
        </w:tc>
        <w:tc>
          <w:tcPr>
            <w:tcW w:w="1647" w:type="dxa"/>
            <w:tcBorders>
              <w:top w:val="nil"/>
              <w:left w:val="nil"/>
              <w:bottom w:val="nil"/>
              <w:right w:val="nil"/>
            </w:tcBorders>
            <w:tcMar>
              <w:top w:w="15" w:type="dxa"/>
              <w:left w:w="15" w:type="dxa"/>
              <w:bottom w:w="0" w:type="dxa"/>
              <w:right w:w="15" w:type="dxa"/>
            </w:tcMar>
            <w:vAlign w:val="bottom"/>
          </w:tcPr>
          <w:p>
            <w:pPr>
              <w:jc w:val="right"/>
              <w:rPr>
                <w:rFonts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 xml:space="preserve">     Resultado líquido ajustado</w:t>
            </w:r>
          </w:p>
        </w:tc>
        <w:tc>
          <w:tcPr>
            <w:tcW w:w="65" w:type="dxa"/>
            <w:tcBorders>
              <w:top w:val="nil"/>
              <w:left w:val="nil"/>
              <w:bottom w:val="nil"/>
              <w:right w:val="nil"/>
            </w:tcBorders>
            <w:noWrap/>
            <w:tcMar>
              <w:top w:w="15" w:type="dxa"/>
              <w:left w:w="15" w:type="dxa"/>
              <w:bottom w:w="0" w:type="dxa"/>
              <w:right w:w="15" w:type="dxa"/>
            </w:tcMar>
            <w:vAlign w:val="bottom"/>
          </w:tcPr>
          <w:p>
            <w:pPr>
              <w:rPr>
                <w:rFonts w:cs="Arial"/>
                <w:b/>
                <w:bCs/>
                <w:sz w:val="20"/>
              </w:rPr>
            </w:pPr>
          </w:p>
        </w:tc>
        <w:tc>
          <w:tcPr>
            <w:tcW w:w="1422" w:type="dxa"/>
            <w:tcBorders>
              <w:top w:val="nil"/>
              <w:left w:val="nil"/>
              <w:bottom w:val="nil"/>
              <w:right w:val="nil"/>
            </w:tcBorders>
            <w:vAlign w:val="bottom"/>
          </w:tcPr>
          <w:p>
            <w:pPr>
              <w:rPr>
                <w:rFonts w:cs="Arial"/>
                <w:b/>
                <w:bCs/>
                <w:sz w:val="20"/>
              </w:rPr>
            </w:pPr>
          </w:p>
        </w:tc>
        <w:tc>
          <w:tcPr>
            <w:tcW w:w="59" w:type="dxa"/>
            <w:tcBorders>
              <w:top w:val="nil"/>
              <w:left w:val="nil"/>
              <w:bottom w:val="nil"/>
              <w:right w:val="nil"/>
            </w:tcBorders>
          </w:tcPr>
          <w:p>
            <w:pPr>
              <w:rPr>
                <w:rFonts w:cs="Arial"/>
                <w:b/>
                <w:bCs/>
                <w:sz w:val="20"/>
              </w:rPr>
            </w:pPr>
          </w:p>
        </w:tc>
        <w:tc>
          <w:tcPr>
            <w:tcW w:w="1647" w:type="dxa"/>
            <w:tcBorders>
              <w:top w:val="nil"/>
              <w:left w:val="nil"/>
              <w:bottom w:val="nil"/>
              <w:right w:val="nil"/>
            </w:tcBorders>
            <w:tcMar>
              <w:top w:w="15" w:type="dxa"/>
              <w:left w:w="15" w:type="dxa"/>
              <w:bottom w:w="0" w:type="dxa"/>
              <w:right w:w="15" w:type="dxa"/>
            </w:tcMar>
            <w:vAlign w:val="bottom"/>
          </w:tcPr>
          <w:p>
            <w:pPr>
              <w:rPr>
                <w:rFonts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 xml:space="preserve">        </w:t>
            </w:r>
            <w:r>
              <w:rPr>
                <w:rFonts w:cs="Arial"/>
                <w:sz w:val="20"/>
              </w:rPr>
              <w:t xml:space="preserve">Resultado líquido do </w:t>
            </w:r>
            <w:r>
              <w:rPr>
                <w:rFonts w:eastAsia="Times New Roman" w:cs="Arial"/>
                <w:color w:val="000000"/>
                <w:sz w:val="20"/>
                <w:lang w:eastAsia="pt-BR"/>
              </w:rPr>
              <w:t>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(5.917)</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(5.726)</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Depreciação e amortização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1.857</w:t>
            </w:r>
          </w:p>
        </w:tc>
        <w:tc>
          <w:tcPr>
            <w:tcW w:w="59" w:type="dxa"/>
            <w:tcBorders>
              <w:top w:val="nil"/>
              <w:left w:val="nil"/>
              <w:bottom w:val="nil"/>
              <w:right w:val="nil"/>
            </w:tcBorders>
            <w:vAlign w:val="center"/>
          </w:tcPr>
          <w:p>
            <w:pPr>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1.590</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Resultado líquido de alienação de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(7)</w:t>
            </w:r>
          </w:p>
        </w:tc>
        <w:tc>
          <w:tcPr>
            <w:tcW w:w="59" w:type="dxa"/>
            <w:tcBorders>
              <w:top w:val="nil"/>
              <w:left w:val="nil"/>
              <w:bottom w:val="nil"/>
              <w:right w:val="nil"/>
            </w:tcBorders>
            <w:vAlign w:val="center"/>
          </w:tcPr>
          <w:p>
            <w:pPr>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114</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Provisão para contingências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2.124</w:t>
            </w:r>
          </w:p>
        </w:tc>
        <w:tc>
          <w:tcPr>
            <w:tcW w:w="59" w:type="dxa"/>
            <w:tcBorders>
              <w:top w:val="nil"/>
              <w:left w:val="nil"/>
              <w:bottom w:val="nil"/>
              <w:right w:val="nil"/>
            </w:tcBorders>
            <w:vAlign w:val="center"/>
          </w:tcPr>
          <w:p>
            <w:pPr>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(397)</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Variação monetária líquida</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102</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272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w:t>
            </w:r>
            <w:r>
              <w:rPr>
                <w:rFonts w:cs="Arial"/>
                <w:b/>
                <w:bCs/>
                <w:sz w:val="20"/>
              </w:rPr>
              <w:t>(Aumento) Redução dos ativos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Contas a receber - processos trabalhistas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(315)</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(735)</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Contas a receber - clientes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(8.627)</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(2.721)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Estoques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215</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12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Impostos a recuperar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(19)</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(27)</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Despesas antecipadas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(17.874)</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(15.663)</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Cs/>
                <w:sz w:val="20"/>
              </w:rPr>
            </w:pPr>
            <w:r>
              <w:rPr>
                <w:rFonts w:cs="Arial"/>
                <w:bCs/>
                <w:sz w:val="20"/>
              </w:rPr>
              <w:t xml:space="preserve">        Outros créditos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Cs/>
                <w:sz w:val="20"/>
              </w:rPr>
            </w:pPr>
          </w:p>
        </w:tc>
        <w:tc>
          <w:tcPr>
            <w:tcW w:w="1422" w:type="dxa"/>
            <w:tcBorders>
              <w:top w:val="nil"/>
              <w:left w:val="nil"/>
              <w:bottom w:val="nil"/>
              <w:right w:val="nil"/>
            </w:tcBorders>
            <w:vAlign w:val="center"/>
          </w:tcPr>
          <w:p>
            <w:pPr>
              <w:jc w:val="right"/>
              <w:rPr>
                <w:rFonts w:cs="Arial"/>
                <w:bCs/>
                <w:sz w:val="20"/>
              </w:rPr>
            </w:pPr>
            <w:r>
              <w:rPr>
                <w:rFonts w:cs="Arial"/>
                <w:bCs/>
                <w:sz w:val="20"/>
              </w:rPr>
              <w:t>1.760</w:t>
            </w:r>
          </w:p>
        </w:tc>
        <w:tc>
          <w:tcPr>
            <w:tcW w:w="59" w:type="dxa"/>
            <w:tcBorders>
              <w:top w:val="nil"/>
              <w:left w:val="nil"/>
              <w:bottom w:val="nil"/>
              <w:right w:val="nil"/>
            </w:tcBorders>
            <w:vAlign w:val="center"/>
          </w:tcPr>
          <w:p>
            <w:pPr>
              <w:jc w:val="right"/>
              <w:rPr>
                <w:rFonts w:cs="Arial"/>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bCs/>
                <w:sz w:val="20"/>
              </w:rPr>
            </w:pPr>
            <w:r>
              <w:rPr>
                <w:rFonts w:cs="Arial"/>
                <w:bCs/>
                <w:sz w:val="20"/>
              </w:rPr>
              <w:t>(825)</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 xml:space="preserve">      Aumento (Redução) dos passivos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p>
        </w:tc>
        <w:tc>
          <w:tcPr>
            <w:tcW w:w="59" w:type="dxa"/>
            <w:tcBorders>
              <w:top w:val="nil"/>
              <w:left w:val="nil"/>
              <w:bottom w:val="nil"/>
              <w:right w:val="nil"/>
            </w:tcBorders>
            <w:vAlign w:val="center"/>
          </w:tcPr>
          <w:p>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Contas correntes credores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4</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61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Fornecedores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(2.277)</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1.908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Impostos, encargos e contribuições a recolher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1.921</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1.870</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Obrigações fiscais a recolher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27.088</w:t>
            </w:r>
          </w:p>
        </w:tc>
        <w:tc>
          <w:tcPr>
            <w:tcW w:w="59" w:type="dxa"/>
            <w:tcBorders>
              <w:top w:val="nil"/>
              <w:left w:val="nil"/>
              <w:bottom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15.858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Contas a pagar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r>
              <w:rPr>
                <w:rFonts w:cs="Arial"/>
                <w:sz w:val="20"/>
              </w:rPr>
              <w:t>84</w:t>
            </w:r>
          </w:p>
        </w:tc>
        <w:tc>
          <w:tcPr>
            <w:tcW w:w="59" w:type="dxa"/>
            <w:tcBorders>
              <w:top w:val="nil"/>
              <w:left w:val="nil"/>
              <w:right w:val="nil"/>
            </w:tcBorders>
            <w:vAlign w:val="center"/>
          </w:tcPr>
          <w:p>
            <w:pPr>
              <w:jc w:val="right"/>
              <w:rPr>
                <w:rFonts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sz w:val="20"/>
              </w:rPr>
            </w:pPr>
            <w:r>
              <w:rPr>
                <w:rFonts w:cs="Arial"/>
                <w:sz w:val="20"/>
              </w:rPr>
              <w:t>50</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Férias e encargos a pagar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single" w:sz="4" w:space="0" w:color="000000"/>
              <w:right w:val="nil"/>
            </w:tcBorders>
            <w:vAlign w:val="center"/>
          </w:tcPr>
          <w:p>
            <w:pPr>
              <w:jc w:val="right"/>
              <w:rPr>
                <w:rFonts w:cs="Arial"/>
                <w:sz w:val="20"/>
              </w:rPr>
            </w:pPr>
            <w:r>
              <w:rPr>
                <w:rFonts w:cs="Arial"/>
                <w:sz w:val="20"/>
              </w:rPr>
              <w:t>1.956</w:t>
            </w:r>
          </w:p>
        </w:tc>
        <w:tc>
          <w:tcPr>
            <w:tcW w:w="59" w:type="dxa"/>
            <w:tcBorders>
              <w:top w:val="nil"/>
              <w:left w:val="nil"/>
              <w:right w:val="nil"/>
            </w:tcBorders>
            <w:vAlign w:val="center"/>
          </w:tcPr>
          <w:p>
            <w:pPr>
              <w:jc w:val="right"/>
              <w:rPr>
                <w:rFonts w:cs="Arial"/>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cs="Arial"/>
                <w:sz w:val="20"/>
              </w:rPr>
            </w:pPr>
            <w:r>
              <w:rPr>
                <w:rFonts w:cs="Arial"/>
                <w:sz w:val="20"/>
              </w:rPr>
              <w:t>571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 xml:space="preserve">        Caixa líquido gerado pelas atividades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r>
              <w:rPr>
                <w:rFonts w:cs="Arial"/>
                <w:b/>
                <w:bCs/>
                <w:sz w:val="20"/>
              </w:rPr>
              <w:t>2.075</w:t>
            </w:r>
          </w:p>
        </w:tc>
        <w:tc>
          <w:tcPr>
            <w:tcW w:w="59" w:type="dxa"/>
            <w:tcBorders>
              <w:left w:val="nil"/>
              <w:bottom w:val="nil"/>
              <w:right w:val="nil"/>
            </w:tcBorders>
            <w:vAlign w:val="center"/>
          </w:tcPr>
          <w:p>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b/>
                <w:bCs/>
                <w:sz w:val="20"/>
              </w:rPr>
            </w:pPr>
            <w:r>
              <w:rPr>
                <w:rFonts w:cs="Arial"/>
                <w:b/>
                <w:bCs/>
                <w:sz w:val="20"/>
              </w:rPr>
              <w:t>(3.788)</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cs="Arial"/>
                <w:b/>
                <w:bCs/>
                <w:sz w:val="20"/>
              </w:rPr>
            </w:pPr>
            <w:r>
              <w:rPr>
                <w:rFonts w:cs="Arial"/>
                <w:b/>
                <w:bCs/>
                <w:sz w:val="20"/>
              </w:rPr>
              <w:t>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p>
        </w:tc>
        <w:tc>
          <w:tcPr>
            <w:tcW w:w="59" w:type="dxa"/>
            <w:tcBorders>
              <w:top w:val="nil"/>
              <w:left w:val="nil"/>
              <w:bottom w:val="nil"/>
              <w:right w:val="nil"/>
            </w:tcBorders>
            <w:vAlign w:val="center"/>
          </w:tcPr>
          <w:p>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 xml:space="preserv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c>
          <w:tcPr>
            <w:tcW w:w="1422" w:type="dxa"/>
            <w:tcBorders>
              <w:top w:val="nil"/>
              <w:left w:val="nil"/>
              <w:bottom w:val="nil"/>
              <w:right w:val="nil"/>
            </w:tcBorders>
            <w:vAlign w:val="center"/>
          </w:tcPr>
          <w:p>
            <w:pPr>
              <w:jc w:val="right"/>
              <w:rPr>
                <w:rFonts w:cs="Arial"/>
                <w:sz w:val="20"/>
              </w:rPr>
            </w:pPr>
          </w:p>
        </w:tc>
        <w:tc>
          <w:tcPr>
            <w:tcW w:w="59" w:type="dxa"/>
            <w:tcBorders>
              <w:top w:val="nil"/>
              <w:left w:val="nil"/>
              <w:right w:val="nil"/>
            </w:tcBorders>
            <w:vAlign w:val="center"/>
          </w:tcPr>
          <w:p>
            <w:pPr>
              <w:jc w:val="right"/>
              <w:rPr>
                <w:rFonts w:cs="Arial"/>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tcPr>
          <w:p>
            <w:pPr>
              <w:rPr>
                <w:rFonts w:cs="Arial"/>
                <w:sz w:val="20"/>
              </w:rPr>
            </w:pPr>
            <w:r>
              <w:rPr>
                <w:rFonts w:cs="Arial"/>
                <w:sz w:val="20"/>
              </w:rPr>
              <w:t xml:space="preserve">        Aquisição de imobilizado</w:t>
            </w:r>
          </w:p>
        </w:tc>
        <w:tc>
          <w:tcPr>
            <w:tcW w:w="65" w:type="dxa"/>
            <w:tcBorders>
              <w:top w:val="nil"/>
              <w:left w:val="nil"/>
              <w:bottom w:val="nil"/>
              <w:right w:val="nil"/>
            </w:tcBorders>
            <w:noWrap/>
            <w:tcMar>
              <w:top w:w="15" w:type="dxa"/>
              <w:left w:w="15" w:type="dxa"/>
              <w:bottom w:w="0" w:type="dxa"/>
              <w:right w:w="15" w:type="dxa"/>
            </w:tcMar>
          </w:tcPr>
          <w:p>
            <w:pPr>
              <w:rPr>
                <w:rFonts w:cs="Arial"/>
                <w:sz w:val="20"/>
              </w:rPr>
            </w:pPr>
          </w:p>
        </w:tc>
        <w:tc>
          <w:tcPr>
            <w:tcW w:w="1422" w:type="dxa"/>
            <w:tcBorders>
              <w:top w:val="nil"/>
              <w:left w:val="nil"/>
              <w:bottom w:val="nil"/>
              <w:right w:val="nil"/>
            </w:tcBorders>
          </w:tcPr>
          <w:p>
            <w:pPr>
              <w:jc w:val="right"/>
              <w:rPr>
                <w:rFonts w:cs="Arial"/>
                <w:sz w:val="20"/>
              </w:rPr>
            </w:pPr>
            <w:r>
              <w:rPr>
                <w:rFonts w:cs="Arial"/>
                <w:sz w:val="20"/>
              </w:rPr>
              <w:t>(35)</w:t>
            </w:r>
          </w:p>
        </w:tc>
        <w:tc>
          <w:tcPr>
            <w:tcW w:w="59" w:type="dxa"/>
            <w:tcBorders>
              <w:top w:val="nil"/>
              <w:left w:val="nil"/>
              <w:right w:val="nil"/>
            </w:tcBorders>
          </w:tcPr>
          <w:p>
            <w:pPr>
              <w:rPr>
                <w:rFonts w:cs="Arial"/>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cs="Arial"/>
                <w:sz w:val="20"/>
              </w:rPr>
            </w:pPr>
            <w:r>
              <w:rPr>
                <w:rFonts w:cs="Arial"/>
                <w:sz w:val="20"/>
              </w:rPr>
              <w:t>(143)</w:t>
            </w:r>
          </w:p>
        </w:tc>
      </w:tr>
      <w:tr>
        <w:trPr>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cs="Arial"/>
                <w:b/>
                <w:bCs/>
                <w:sz w:val="20"/>
              </w:rPr>
            </w:pPr>
            <w:r>
              <w:rPr>
                <w:rFonts w:cs="Arial"/>
                <w:b/>
                <w:bCs/>
                <w:sz w:val="20"/>
              </w:rPr>
              <w:t xml:space="preserve">        Caixa líquido consumido pelas 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r>
              <w:rPr>
                <w:rFonts w:cs="Arial"/>
                <w:b/>
                <w:bCs/>
                <w:sz w:val="20"/>
              </w:rPr>
              <w:t>(35)</w:t>
            </w:r>
          </w:p>
        </w:tc>
        <w:tc>
          <w:tcPr>
            <w:tcW w:w="59" w:type="dxa"/>
            <w:tcBorders>
              <w:left w:val="nil"/>
              <w:bottom w:val="nil"/>
              <w:right w:val="nil"/>
            </w:tcBorders>
            <w:vAlign w:val="center"/>
          </w:tcPr>
          <w:p>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r>
              <w:rPr>
                <w:rFonts w:cs="Arial"/>
                <w:b/>
                <w:bCs/>
                <w:sz w:val="20"/>
              </w:rPr>
              <w:t>(143)</w:t>
            </w:r>
          </w:p>
        </w:tc>
        <w:tc>
          <w:tcPr>
            <w:tcW w:w="59" w:type="dxa"/>
            <w:vAlign w:val="center"/>
          </w:tcPr>
          <w:p>
            <w:pPr>
              <w:jc w:val="right"/>
              <w:rPr>
                <w:rFonts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p>
        </w:tc>
        <w:tc>
          <w:tcPr>
            <w:tcW w:w="59" w:type="dxa"/>
            <w:tcBorders>
              <w:top w:val="nil"/>
              <w:left w:val="nil"/>
              <w:bottom w:val="nil"/>
              <w:right w:val="nil"/>
            </w:tcBorders>
            <w:vAlign w:val="center"/>
          </w:tcPr>
          <w:p>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Variação monetária s/ reserva para aumento de capital</w:t>
            </w:r>
          </w:p>
        </w:tc>
        <w:tc>
          <w:tcPr>
            <w:tcW w:w="65" w:type="dxa"/>
            <w:tcBorders>
              <w:top w:val="nil"/>
              <w:left w:val="nil"/>
              <w:right w:val="nil"/>
            </w:tcBorders>
            <w:noWrap/>
            <w:tcMar>
              <w:top w:w="15" w:type="dxa"/>
              <w:left w:w="15" w:type="dxa"/>
              <w:bottom w:w="0" w:type="dxa"/>
              <w:right w:w="15" w:type="dxa"/>
            </w:tcMar>
            <w:vAlign w:val="center"/>
          </w:tcPr>
          <w:p>
            <w:pPr>
              <w:jc w:val="right"/>
              <w:rPr>
                <w:rFonts w:cs="Arial"/>
                <w:color w:val="3366FF"/>
                <w:sz w:val="20"/>
              </w:rPr>
            </w:pPr>
          </w:p>
        </w:tc>
        <w:tc>
          <w:tcPr>
            <w:tcW w:w="1422" w:type="dxa"/>
            <w:tcBorders>
              <w:top w:val="nil"/>
              <w:left w:val="nil"/>
              <w:right w:val="nil"/>
            </w:tcBorders>
            <w:vAlign w:val="center"/>
          </w:tcPr>
          <w:p>
            <w:pPr>
              <w:jc w:val="right"/>
              <w:rPr>
                <w:rFonts w:cs="Arial"/>
                <w:sz w:val="20"/>
              </w:rPr>
            </w:pPr>
            <w:r>
              <w:rPr>
                <w:rFonts w:cs="Arial"/>
                <w:sz w:val="20"/>
              </w:rPr>
              <w:t>16</w:t>
            </w:r>
          </w:p>
        </w:tc>
        <w:tc>
          <w:tcPr>
            <w:tcW w:w="59" w:type="dxa"/>
            <w:tcBorders>
              <w:top w:val="nil"/>
              <w:left w:val="nil"/>
              <w:bottom w:val="nil"/>
              <w:right w:val="nil"/>
            </w:tcBorders>
            <w:vAlign w:val="center"/>
          </w:tcPr>
          <w:p>
            <w:pPr>
              <w:jc w:val="right"/>
              <w:rPr>
                <w:rFonts w:cs="Arial"/>
                <w:color w:val="3366FF"/>
                <w:sz w:val="20"/>
              </w:rPr>
            </w:pPr>
          </w:p>
        </w:tc>
        <w:tc>
          <w:tcPr>
            <w:tcW w:w="1647" w:type="dxa"/>
            <w:tcBorders>
              <w:top w:val="nil"/>
              <w:left w:val="nil"/>
              <w:right w:val="nil"/>
            </w:tcBorders>
            <w:tcMar>
              <w:top w:w="15" w:type="dxa"/>
              <w:left w:w="15" w:type="dxa"/>
              <w:bottom w:w="0" w:type="dxa"/>
              <w:right w:w="15" w:type="dxa"/>
            </w:tcMar>
            <w:vAlign w:val="center"/>
          </w:tcPr>
          <w:p>
            <w:pPr>
              <w:jc w:val="right"/>
              <w:rPr>
                <w:rFonts w:cs="Arial"/>
                <w:sz w:val="20"/>
              </w:rPr>
            </w:pPr>
            <w:r>
              <w:rPr>
                <w:rFonts w:cs="Arial"/>
                <w:sz w:val="20"/>
              </w:rPr>
              <w:t>21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Empréstimos obtidos</w:t>
            </w:r>
          </w:p>
        </w:tc>
        <w:tc>
          <w:tcPr>
            <w:tcW w:w="65" w:type="dxa"/>
            <w:tcBorders>
              <w:top w:val="nil"/>
              <w:left w:val="nil"/>
              <w:right w:val="nil"/>
            </w:tcBorders>
            <w:noWrap/>
            <w:tcMar>
              <w:top w:w="15" w:type="dxa"/>
              <w:left w:w="15" w:type="dxa"/>
              <w:bottom w:w="0" w:type="dxa"/>
              <w:right w:w="15" w:type="dxa"/>
            </w:tcMar>
            <w:vAlign w:val="center"/>
          </w:tcPr>
          <w:p>
            <w:pPr>
              <w:jc w:val="right"/>
              <w:rPr>
                <w:rFonts w:cs="Arial"/>
                <w:color w:val="3366FF"/>
                <w:sz w:val="20"/>
              </w:rPr>
            </w:pPr>
          </w:p>
        </w:tc>
        <w:tc>
          <w:tcPr>
            <w:tcW w:w="1422" w:type="dxa"/>
            <w:tcBorders>
              <w:top w:val="nil"/>
              <w:left w:val="nil"/>
              <w:right w:val="nil"/>
            </w:tcBorders>
            <w:vAlign w:val="center"/>
          </w:tcPr>
          <w:p>
            <w:pPr>
              <w:jc w:val="right"/>
              <w:rPr>
                <w:rFonts w:cs="Arial"/>
                <w:sz w:val="20"/>
              </w:rPr>
            </w:pPr>
            <w:r>
              <w:rPr>
                <w:rFonts w:cs="Arial"/>
                <w:sz w:val="20"/>
              </w:rPr>
              <w:t>4.000</w:t>
            </w:r>
          </w:p>
        </w:tc>
        <w:tc>
          <w:tcPr>
            <w:tcW w:w="59" w:type="dxa"/>
            <w:tcBorders>
              <w:top w:val="nil"/>
              <w:left w:val="nil"/>
              <w:bottom w:val="nil"/>
              <w:right w:val="nil"/>
            </w:tcBorders>
            <w:vAlign w:val="center"/>
          </w:tcPr>
          <w:p>
            <w:pPr>
              <w:jc w:val="right"/>
              <w:rPr>
                <w:rFonts w:cs="Arial"/>
                <w:color w:val="3366FF"/>
                <w:sz w:val="20"/>
              </w:rPr>
            </w:pPr>
          </w:p>
        </w:tc>
        <w:tc>
          <w:tcPr>
            <w:tcW w:w="1647" w:type="dxa"/>
            <w:tcBorders>
              <w:top w:val="nil"/>
              <w:left w:val="nil"/>
              <w:right w:val="nil"/>
            </w:tcBorders>
            <w:tcMar>
              <w:top w:w="15" w:type="dxa"/>
              <w:left w:w="15" w:type="dxa"/>
              <w:bottom w:w="0" w:type="dxa"/>
              <w:right w:w="15" w:type="dxa"/>
            </w:tcMar>
            <w:vAlign w:val="center"/>
          </w:tcPr>
          <w:p>
            <w:pPr>
              <w:jc w:val="right"/>
              <w:rPr>
                <w:rFonts w:cs="Arial"/>
                <w:sz w:val="20"/>
              </w:rPr>
            </w:pPr>
            <w:r>
              <w:rPr>
                <w:rFonts w:cs="Arial"/>
                <w:sz w:val="20"/>
              </w:rPr>
              <w:t>2.202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Pagamento de empréstimos</w:t>
            </w:r>
          </w:p>
        </w:tc>
        <w:tc>
          <w:tcPr>
            <w:tcW w:w="65" w:type="dxa"/>
            <w:tcBorders>
              <w:top w:val="nil"/>
              <w:left w:val="nil"/>
              <w:right w:val="nil"/>
            </w:tcBorders>
            <w:noWrap/>
            <w:tcMar>
              <w:top w:w="15" w:type="dxa"/>
              <w:left w:w="15" w:type="dxa"/>
              <w:bottom w:w="0" w:type="dxa"/>
              <w:right w:w="15" w:type="dxa"/>
            </w:tcMar>
            <w:vAlign w:val="center"/>
          </w:tcPr>
          <w:p>
            <w:pPr>
              <w:jc w:val="right"/>
              <w:rPr>
                <w:rFonts w:cs="Arial"/>
                <w:color w:val="3366FF"/>
                <w:sz w:val="20"/>
              </w:rPr>
            </w:pPr>
          </w:p>
        </w:tc>
        <w:tc>
          <w:tcPr>
            <w:tcW w:w="1422" w:type="dxa"/>
            <w:tcBorders>
              <w:top w:val="nil"/>
              <w:left w:val="nil"/>
              <w:right w:val="nil"/>
            </w:tcBorders>
            <w:vAlign w:val="center"/>
          </w:tcPr>
          <w:p>
            <w:pPr>
              <w:jc w:val="right"/>
              <w:rPr>
                <w:rFonts w:cs="Arial"/>
                <w:sz w:val="20"/>
              </w:rPr>
            </w:pPr>
            <w:r>
              <w:rPr>
                <w:rFonts w:cs="Arial"/>
                <w:sz w:val="20"/>
              </w:rPr>
              <w:t>(2.010)</w:t>
            </w:r>
          </w:p>
        </w:tc>
        <w:tc>
          <w:tcPr>
            <w:tcW w:w="59" w:type="dxa"/>
            <w:tcBorders>
              <w:top w:val="nil"/>
              <w:left w:val="nil"/>
              <w:bottom w:val="nil"/>
              <w:right w:val="nil"/>
            </w:tcBorders>
            <w:vAlign w:val="center"/>
          </w:tcPr>
          <w:p>
            <w:pPr>
              <w:jc w:val="right"/>
              <w:rPr>
                <w:rFonts w:cs="Arial"/>
                <w:color w:val="3366FF"/>
                <w:sz w:val="20"/>
              </w:rPr>
            </w:pPr>
          </w:p>
        </w:tc>
        <w:tc>
          <w:tcPr>
            <w:tcW w:w="1647" w:type="dxa"/>
            <w:tcBorders>
              <w:top w:val="nil"/>
              <w:left w:val="nil"/>
              <w:right w:val="nil"/>
            </w:tcBorders>
            <w:tcMar>
              <w:top w:w="15" w:type="dxa"/>
              <w:left w:w="15" w:type="dxa"/>
              <w:bottom w:w="0" w:type="dxa"/>
              <w:right w:w="15" w:type="dxa"/>
            </w:tcMar>
            <w:vAlign w:val="center"/>
          </w:tcPr>
          <w:p>
            <w:pPr>
              <w:jc w:val="right"/>
              <w:rPr>
                <w:rFonts w:cs="Arial"/>
                <w:sz w:val="20"/>
              </w:rPr>
            </w:pPr>
            <w:r>
              <w:rPr>
                <w:rFonts w:cs="Arial"/>
                <w:sz w:val="20"/>
              </w:rPr>
              <w:t>-</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sz w:val="20"/>
              </w:rPr>
            </w:pPr>
            <w:r>
              <w:rPr>
                <w:rFonts w:cs="Arial"/>
                <w:sz w:val="20"/>
              </w:rPr>
              <w:t xml:space="preserve">        Juros pagos sobre empréstimos</w:t>
            </w:r>
          </w:p>
        </w:tc>
        <w:tc>
          <w:tcPr>
            <w:tcW w:w="65" w:type="dxa"/>
            <w:tcBorders>
              <w:top w:val="nil"/>
              <w:left w:val="nil"/>
              <w:right w:val="nil"/>
            </w:tcBorders>
            <w:noWrap/>
            <w:tcMar>
              <w:top w:w="15" w:type="dxa"/>
              <w:left w:w="15" w:type="dxa"/>
              <w:bottom w:w="0" w:type="dxa"/>
              <w:right w:w="15" w:type="dxa"/>
            </w:tcMar>
            <w:vAlign w:val="center"/>
          </w:tcPr>
          <w:p>
            <w:pPr>
              <w:jc w:val="right"/>
              <w:rPr>
                <w:rFonts w:cs="Arial"/>
                <w:color w:val="3366FF"/>
                <w:sz w:val="20"/>
              </w:rPr>
            </w:pPr>
          </w:p>
        </w:tc>
        <w:tc>
          <w:tcPr>
            <w:tcW w:w="1422" w:type="dxa"/>
            <w:tcBorders>
              <w:top w:val="nil"/>
              <w:left w:val="nil"/>
              <w:right w:val="nil"/>
            </w:tcBorders>
            <w:vAlign w:val="center"/>
          </w:tcPr>
          <w:p>
            <w:pPr>
              <w:jc w:val="right"/>
              <w:rPr>
                <w:rFonts w:cs="Arial"/>
                <w:sz w:val="20"/>
              </w:rPr>
            </w:pPr>
            <w:r>
              <w:rPr>
                <w:rFonts w:cs="Arial"/>
                <w:sz w:val="20"/>
              </w:rPr>
              <w:t>77</w:t>
            </w:r>
          </w:p>
        </w:tc>
        <w:tc>
          <w:tcPr>
            <w:tcW w:w="59" w:type="dxa"/>
            <w:tcBorders>
              <w:top w:val="nil"/>
              <w:left w:val="nil"/>
              <w:bottom w:val="nil"/>
              <w:right w:val="nil"/>
            </w:tcBorders>
            <w:vAlign w:val="center"/>
          </w:tcPr>
          <w:p>
            <w:pPr>
              <w:jc w:val="right"/>
              <w:rPr>
                <w:rFonts w:cs="Arial"/>
                <w:color w:val="3366FF"/>
                <w:sz w:val="20"/>
              </w:rPr>
            </w:pPr>
          </w:p>
        </w:tc>
        <w:tc>
          <w:tcPr>
            <w:tcW w:w="1647" w:type="dxa"/>
            <w:tcBorders>
              <w:top w:val="nil"/>
              <w:left w:val="nil"/>
              <w:right w:val="nil"/>
            </w:tcBorders>
            <w:tcMar>
              <w:top w:w="15" w:type="dxa"/>
              <w:left w:w="15" w:type="dxa"/>
              <w:bottom w:w="0" w:type="dxa"/>
              <w:right w:w="15" w:type="dxa"/>
            </w:tcMar>
            <w:vAlign w:val="center"/>
          </w:tcPr>
          <w:p>
            <w:pPr>
              <w:jc w:val="right"/>
              <w:rPr>
                <w:rFonts w:cs="Arial"/>
                <w:sz w:val="20"/>
              </w:rPr>
            </w:pPr>
            <w:r>
              <w:rPr>
                <w:rFonts w:cs="Arial"/>
                <w:sz w:val="20"/>
              </w:rPr>
              <w:t>-</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cs="Arial"/>
                <w:b/>
                <w:bCs/>
                <w:sz w:val="20"/>
              </w:rPr>
            </w:pPr>
            <w:r>
              <w:rPr>
                <w:rFonts w:cs="Arial"/>
                <w:b/>
                <w:bCs/>
                <w:sz w:val="20"/>
              </w:rPr>
              <w:t xml:space="preserve">        Caixa líquido consumido pelas 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single" w:sz="4" w:space="0" w:color="auto"/>
              <w:left w:val="nil"/>
              <w:bottom w:val="nil"/>
              <w:right w:val="nil"/>
            </w:tcBorders>
            <w:vAlign w:val="center"/>
          </w:tcPr>
          <w:p>
            <w:pPr>
              <w:jc w:val="right"/>
              <w:rPr>
                <w:rFonts w:cs="Arial"/>
                <w:b/>
                <w:bCs/>
                <w:sz w:val="20"/>
              </w:rPr>
            </w:pPr>
            <w:r>
              <w:rPr>
                <w:rFonts w:cs="Arial"/>
                <w:b/>
                <w:bCs/>
                <w:sz w:val="20"/>
              </w:rPr>
              <w:t>2.083</w:t>
            </w:r>
          </w:p>
        </w:tc>
        <w:tc>
          <w:tcPr>
            <w:tcW w:w="59" w:type="dxa"/>
            <w:tcBorders>
              <w:left w:val="nil"/>
              <w:bottom w:val="nil"/>
              <w:right w:val="nil"/>
            </w:tcBorders>
            <w:vAlign w:val="center"/>
          </w:tcPr>
          <w:p>
            <w:pPr>
              <w:jc w:val="right"/>
              <w:rPr>
                <w:rFonts w:cs="Arial"/>
                <w:b/>
                <w:bCs/>
                <w:sz w:val="20"/>
              </w:rPr>
            </w:pPr>
          </w:p>
        </w:tc>
        <w:tc>
          <w:tcPr>
            <w:tcW w:w="1647" w:type="dxa"/>
            <w:tcBorders>
              <w:top w:val="single" w:sz="4" w:space="0" w:color="auto"/>
              <w:left w:val="nil"/>
              <w:bottom w:val="nil"/>
              <w:right w:val="nil"/>
            </w:tcBorders>
            <w:noWrap/>
            <w:tcMar>
              <w:top w:w="15" w:type="dxa"/>
              <w:left w:w="15" w:type="dxa"/>
              <w:bottom w:w="0" w:type="dxa"/>
              <w:right w:w="15" w:type="dxa"/>
            </w:tcMar>
            <w:vAlign w:val="center"/>
          </w:tcPr>
          <w:p>
            <w:pPr>
              <w:jc w:val="right"/>
              <w:rPr>
                <w:rFonts w:cs="Arial"/>
                <w:b/>
                <w:bCs/>
                <w:sz w:val="20"/>
              </w:rPr>
            </w:pPr>
            <w:r>
              <w:rPr>
                <w:rFonts w:cs="Arial"/>
                <w:b/>
                <w:bCs/>
                <w:sz w:val="20"/>
              </w:rPr>
              <w:t>2.223</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p>
        </w:tc>
        <w:tc>
          <w:tcPr>
            <w:tcW w:w="59" w:type="dxa"/>
            <w:tcBorders>
              <w:left w:val="nil"/>
              <w:bottom w:val="nil"/>
              <w:right w:val="nil"/>
            </w:tcBorders>
            <w:vAlign w:val="center"/>
          </w:tcPr>
          <w:p>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 xml:space="preserve">        Aumento/diminuição no saldo de disponibilidades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r>
              <w:rPr>
                <w:rFonts w:cs="Arial"/>
                <w:b/>
                <w:bCs/>
                <w:sz w:val="20"/>
              </w:rPr>
              <w:t>4.123</w:t>
            </w:r>
          </w:p>
        </w:tc>
        <w:tc>
          <w:tcPr>
            <w:tcW w:w="59" w:type="dxa"/>
            <w:tcBorders>
              <w:top w:val="nil"/>
              <w:left w:val="nil"/>
              <w:bottom w:val="nil"/>
              <w:right w:val="nil"/>
            </w:tcBorders>
            <w:vAlign w:val="center"/>
          </w:tcPr>
          <w:p>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r>
              <w:rPr>
                <w:rFonts w:cs="Arial"/>
                <w:b/>
                <w:bCs/>
                <w:sz w:val="20"/>
              </w:rPr>
              <w:t>(1.708)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p>
        </w:tc>
        <w:tc>
          <w:tcPr>
            <w:tcW w:w="59" w:type="dxa"/>
            <w:tcBorders>
              <w:top w:val="nil"/>
              <w:left w:val="nil"/>
              <w:bottom w:val="nil"/>
              <w:right w:val="nil"/>
            </w:tcBorders>
            <w:vAlign w:val="center"/>
          </w:tcPr>
          <w:p>
            <w:pPr>
              <w:jc w:val="right"/>
              <w:rPr>
                <w:rFonts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Caixa e equivalentes de caixa no início do 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r>
              <w:rPr>
                <w:rFonts w:cs="Arial"/>
                <w:b/>
                <w:bCs/>
                <w:sz w:val="20"/>
              </w:rPr>
              <w:t>3.703</w:t>
            </w:r>
          </w:p>
        </w:tc>
        <w:tc>
          <w:tcPr>
            <w:tcW w:w="59" w:type="dxa"/>
            <w:tcBorders>
              <w:top w:val="nil"/>
              <w:left w:val="nil"/>
              <w:right w:val="nil"/>
            </w:tcBorders>
            <w:vAlign w:val="center"/>
          </w:tcPr>
          <w:p>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b/>
                <w:bCs/>
                <w:sz w:val="20"/>
              </w:rPr>
            </w:pPr>
            <w:r>
              <w:rPr>
                <w:rFonts w:cs="Arial"/>
                <w:b/>
                <w:bCs/>
                <w:sz w:val="20"/>
              </w:rPr>
              <w:t>3.169</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Caixa e equivalentes de caixa no fim do 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single" w:sz="4" w:space="0" w:color="000000"/>
              <w:right w:val="nil"/>
            </w:tcBorders>
            <w:vAlign w:val="center"/>
          </w:tcPr>
          <w:p>
            <w:pPr>
              <w:jc w:val="right"/>
              <w:rPr>
                <w:rFonts w:cs="Arial"/>
                <w:b/>
                <w:bCs/>
                <w:sz w:val="20"/>
              </w:rPr>
            </w:pPr>
            <w:r>
              <w:rPr>
                <w:rFonts w:cs="Arial"/>
                <w:b/>
                <w:bCs/>
                <w:sz w:val="20"/>
              </w:rPr>
              <w:t>7.826</w:t>
            </w:r>
          </w:p>
        </w:tc>
        <w:tc>
          <w:tcPr>
            <w:tcW w:w="59" w:type="dxa"/>
            <w:tcBorders>
              <w:top w:val="nil"/>
              <w:left w:val="nil"/>
              <w:right w:val="nil"/>
            </w:tcBorders>
            <w:vAlign w:val="center"/>
          </w:tcPr>
          <w:p>
            <w:pPr>
              <w:ind w:left="-141" w:right="-426"/>
              <w:jc w:val="right"/>
              <w:rPr>
                <w:rFonts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cs="Arial"/>
                <w:b/>
                <w:bCs/>
                <w:sz w:val="20"/>
              </w:rPr>
            </w:pPr>
            <w:r>
              <w:rPr>
                <w:rFonts w:cs="Arial"/>
                <w:b/>
                <w:bCs/>
                <w:sz w:val="20"/>
              </w:rPr>
              <w:t>1.461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cs="Arial"/>
                <w:b/>
                <w:bCs/>
                <w:sz w:val="20"/>
              </w:rPr>
            </w:pPr>
            <w:r>
              <w:rPr>
                <w:rFonts w:cs="Arial"/>
                <w:b/>
                <w:bCs/>
                <w:sz w:val="20"/>
              </w:rPr>
              <w:t>Variação de caixa e equivalentes de caixa</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cs="Arial"/>
                <w:b/>
                <w:bCs/>
                <w:sz w:val="20"/>
              </w:rPr>
            </w:pPr>
          </w:p>
        </w:tc>
        <w:tc>
          <w:tcPr>
            <w:tcW w:w="1422" w:type="dxa"/>
            <w:tcBorders>
              <w:top w:val="nil"/>
              <w:left w:val="nil"/>
              <w:bottom w:val="nil"/>
              <w:right w:val="nil"/>
            </w:tcBorders>
            <w:vAlign w:val="center"/>
          </w:tcPr>
          <w:p>
            <w:pPr>
              <w:jc w:val="right"/>
              <w:rPr>
                <w:rFonts w:cs="Arial"/>
                <w:b/>
                <w:bCs/>
                <w:sz w:val="20"/>
              </w:rPr>
            </w:pPr>
            <w:r>
              <w:rPr>
                <w:rFonts w:cs="Arial"/>
                <w:b/>
                <w:bCs/>
                <w:sz w:val="20"/>
              </w:rPr>
              <w:t>4.123</w:t>
            </w:r>
          </w:p>
        </w:tc>
        <w:tc>
          <w:tcPr>
            <w:tcW w:w="59" w:type="dxa"/>
            <w:tcBorders>
              <w:left w:val="nil"/>
              <w:bottom w:val="nil"/>
              <w:right w:val="nil"/>
            </w:tcBorders>
            <w:vAlign w:val="center"/>
          </w:tcPr>
          <w:p>
            <w:pPr>
              <w:jc w:val="right"/>
              <w:rPr>
                <w:rFonts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cs="Arial"/>
                <w:b/>
                <w:bCs/>
                <w:sz w:val="20"/>
              </w:rPr>
            </w:pPr>
            <w:r>
              <w:rPr>
                <w:rFonts w:cs="Arial"/>
                <w:b/>
                <w:bCs/>
                <w:sz w:val="20"/>
              </w:rPr>
              <w:t>(1.708)</w:t>
            </w:r>
          </w:p>
        </w:tc>
      </w:tr>
    </w:tbl>
    <w:p>
      <w:pPr>
        <w:ind w:left="706" w:hanging="706"/>
        <w:rPr>
          <w:rFonts w:cs="Arial"/>
          <w:sz w:val="20"/>
        </w:rPr>
      </w:pPr>
    </w:p>
    <w:p>
      <w:pPr>
        <w:ind w:left="706" w:hanging="706"/>
        <w:rPr>
          <w:rFonts w:cs="Arial"/>
          <w:sz w:val="20"/>
        </w:rPr>
      </w:pPr>
    </w:p>
    <w:p>
      <w:pPr>
        <w:ind w:left="706" w:hanging="706"/>
        <w:jc w:val="right"/>
        <w:rPr>
          <w:rFonts w:cs="Arial"/>
          <w:sz w:val="20"/>
        </w:rPr>
      </w:pPr>
    </w:p>
    <w:p>
      <w:pPr>
        <w:ind w:left="706" w:hanging="706"/>
        <w:rPr>
          <w:rFonts w:cs="Arial"/>
          <w:sz w:val="20"/>
        </w:rPr>
      </w:pPr>
    </w:p>
    <w:p>
      <w:pPr>
        <w:ind w:left="706" w:hanging="706"/>
        <w:rPr>
          <w:rFonts w:cs="Arial"/>
          <w:szCs w:val="24"/>
        </w:rPr>
      </w:pPr>
      <w:r>
        <w:rPr>
          <w:rFonts w:cs="Arial"/>
          <w:sz w:val="20"/>
        </w:rPr>
        <w:t>As notas explicativas integram as demonstrações contábeis intermediárias.</w:t>
      </w:r>
    </w:p>
    <w:p>
      <w:bookmarkStart w:id="10" w:name="_NOTAS_EXPLICATIVAS_ÀS"/>
      <w:bookmarkEnd w:id="10"/>
    </w:p>
    <w:p>
      <w:pPr>
        <w:pStyle w:val="Ttulo1"/>
        <w:jc w:val="center"/>
        <w:rPr>
          <w:rFonts w:cs="Arial"/>
          <w:sz w:val="24"/>
          <w:szCs w:val="24"/>
        </w:rPr>
      </w:pPr>
      <w:bookmarkStart w:id="11" w:name="_Toc41376085"/>
      <w:r>
        <w:rPr>
          <w:rFonts w:cs="Arial"/>
          <w:sz w:val="24"/>
          <w:szCs w:val="24"/>
        </w:rPr>
        <w:t>NOTAS EXPLICATIVAS ÀS DEMONSTRAÇÕES CONTÁBEIS INTERMEDIÁRIAS</w:t>
      </w:r>
      <w:bookmarkEnd w:id="11"/>
    </w:p>
    <w:p>
      <w:pPr>
        <w:pStyle w:val="WW-Recuodecorpodetexto2"/>
        <w:jc w:val="center"/>
        <w:rPr>
          <w:b/>
          <w:bCs/>
        </w:rPr>
      </w:pPr>
      <w:r>
        <w:rPr>
          <w:b/>
          <w:bCs/>
        </w:rPr>
        <w:t>EM 31 DE MARÇO DE 2020 E 2019</w:t>
      </w:r>
    </w:p>
    <w:p>
      <w:pPr>
        <w:pStyle w:val="WW-Recuodecorpodetexto2"/>
        <w:jc w:val="center"/>
        <w:rPr>
          <w:b/>
          <w:bCs/>
        </w:rPr>
      </w:pPr>
      <w:r>
        <w:rPr>
          <w:b/>
          <w:bCs/>
        </w:rPr>
        <w:t>(Em milhares de reais)</w:t>
      </w:r>
    </w:p>
    <w:p>
      <w:pPr>
        <w:pStyle w:val="WW-Recuodecorpodetexto2"/>
        <w:rPr>
          <w:b/>
          <w:bCs/>
        </w:rPr>
      </w:pPr>
    </w:p>
    <w:p>
      <w:pPr>
        <w:pStyle w:val="Ttulo1"/>
        <w:rPr>
          <w:szCs w:val="22"/>
        </w:rPr>
      </w:pPr>
      <w:bookmarkStart w:id="12" w:name="_1._OBJETO"/>
      <w:bookmarkStart w:id="13" w:name="_Toc41376086"/>
      <w:bookmarkEnd w:id="12"/>
      <w:r>
        <w:rPr>
          <w:szCs w:val="22"/>
        </w:rPr>
        <w:t>1.</w:t>
      </w:r>
      <w:r>
        <w:rPr>
          <w:szCs w:val="22"/>
        </w:rPr>
        <w:tab/>
        <w:t>OBJETO</w:t>
      </w:r>
      <w:bookmarkEnd w:id="13"/>
    </w:p>
    <w:p>
      <w:pPr>
        <w:pStyle w:val="WW-Recuodecorpodetexto2"/>
        <w:tabs>
          <w:tab w:val="clear" w:pos="8647"/>
          <w:tab w:val="clear" w:pos="10773"/>
        </w:tabs>
        <w:rPr>
          <w:szCs w:val="22"/>
        </w:rPr>
      </w:pPr>
    </w:p>
    <w:p>
      <w:pPr>
        <w:ind w:firstLine="426"/>
        <w:rPr>
          <w:rFonts w:cs="Arial"/>
        </w:rPr>
      </w:pPr>
      <w:r>
        <w:rPr>
          <w:rFonts w:cs="Arial"/>
        </w:rPr>
        <w:t>A Companhia é uma empresa pública federal, sob a forma de sociedade anônima, com sede localizada na Avenida Doutor Gastão Vidigal nº 1946, na cidade de São Paulo, Estado de São Paulo. É vinculada ao Ministério da Economia, regida pela legislação a ela aplicável e pelo seu Estatuto Social. O Decreto nº 10.041 de 3 de outubro de 2019, publicado no dia 4 de outubro de 2019, alterou a vinculação da Ceagesp, transferindo do Ministério da Agricultura, Pecuária e Abastecimento, para o Ministério da Economia.</w:t>
      </w:r>
    </w:p>
    <w:p>
      <w:pPr>
        <w:tabs>
          <w:tab w:val="left" w:pos="6045"/>
        </w:tabs>
        <w:rPr>
          <w:rFonts w:cs="Arial"/>
        </w:rPr>
      </w:pPr>
      <w:r>
        <w:rPr>
          <w:rFonts w:cs="Arial"/>
        </w:rPr>
        <w:tab/>
      </w:r>
    </w:p>
    <w:p>
      <w:pPr>
        <w:ind w:firstLine="426"/>
        <w:rPr>
          <w:rFonts w:cs="Arial"/>
        </w:rPr>
      </w:pPr>
      <w:r>
        <w:rPr>
          <w:rFonts w:cs="Arial"/>
        </w:rPr>
        <w:t>Opera no âmbito do sistema estadual de abastecimento de produtos agropecuários, atuando na guarda e conservação de mercadorias de terceiros em armazéns, silos e frigoríficos e na instalação de entrepostos para, sob sua administração, permitir o uso remunerado de seus espaços para a comercialização destes produtos por terceiros. Permite também o uso remunerado de áreas sem exploração comercial nas unidades operacionais a terceiros, para finalidades diversas.</w:t>
      </w:r>
    </w:p>
    <w:p>
      <w:pPr>
        <w:rPr>
          <w:rFonts w:cs="Arial"/>
        </w:rPr>
      </w:pPr>
    </w:p>
    <w:p>
      <w:pPr>
        <w:ind w:firstLine="426"/>
        <w:rPr>
          <w:rFonts w:cs="Arial"/>
        </w:rPr>
      </w:pPr>
      <w:r>
        <w:rPr>
          <w:rFonts w:cs="Arial"/>
        </w:rPr>
        <w:t>Executa, ainda, serviços complementares de promoção de novos estudos e pesquisas para subsidiar o estabelecimento de padrões oficiais de classificação, rotulagem e embalagens de produtos agropecuários do agronegócio, manter serviços de informação de mercado, de classificação e certificação de produtos vegetais, seus subprodutos e resíduos de valor econômico. Para tanto, qualifica pessoal para atuar na área do abastecimento alimentar e agronegócio.</w:t>
      </w:r>
    </w:p>
    <w:p>
      <w:pPr>
        <w:rPr>
          <w:rFonts w:cs="Arial"/>
        </w:rPr>
      </w:pPr>
    </w:p>
    <w:p>
      <w:pPr>
        <w:ind w:firstLine="426"/>
        <w:rPr>
          <w:rFonts w:cs="Arial"/>
        </w:rPr>
      </w:pPr>
      <w:r>
        <w:rPr>
          <w:rFonts w:cs="Arial"/>
        </w:rPr>
        <w:t>Opera a sala de vendas públicas, na forma prevista no artigo 128 do Decreto nº 1.102, de 21 de novembro de 1903.</w:t>
      </w:r>
    </w:p>
    <w:p>
      <w:pPr>
        <w:rPr>
          <w:rFonts w:cs="Arial"/>
        </w:rPr>
      </w:pPr>
    </w:p>
    <w:p>
      <w:pPr>
        <w:ind w:firstLine="426"/>
        <w:rPr>
          <w:rFonts w:cs="Arial"/>
        </w:rPr>
      </w:pPr>
      <w:r>
        <w:rPr>
          <w:rFonts w:cs="Arial"/>
        </w:rPr>
        <w:t>Comercializa produtos e subprodutos, observando a legislação vigente.</w:t>
      </w:r>
    </w:p>
    <w:p>
      <w:pPr>
        <w:rPr>
          <w:rFonts w:cs="Arial"/>
        </w:rPr>
      </w:pPr>
    </w:p>
    <w:p>
      <w:pPr>
        <w:ind w:firstLine="426"/>
        <w:rPr>
          <w:rFonts w:cs="Arial"/>
        </w:rPr>
      </w:pPr>
      <w:r>
        <w:rPr>
          <w:rFonts w:cs="Arial"/>
        </w:rPr>
        <w:t>Em 2 de janeiro de 1998 ocorreu a transferência das ações da Companhia para a União, até então de propriedade do Estado de São Paulo, através do contrato de Assunção da Dívida firmado ao amparo da Lei Federal nº 9.496,</w:t>
      </w:r>
      <w:r>
        <w:rPr>
          <w:rFonts w:cs="Arial"/>
          <w:color w:val="0000FF"/>
        </w:rPr>
        <w:t xml:space="preserve"> </w:t>
      </w:r>
      <w:r>
        <w:rPr>
          <w:rFonts w:cs="Arial"/>
        </w:rPr>
        <w:t>de 11 de setembro de 1997.</w:t>
      </w:r>
    </w:p>
    <w:p>
      <w:pPr>
        <w:rPr>
          <w:rFonts w:cs="Arial"/>
          <w:szCs w:val="22"/>
        </w:rPr>
      </w:pPr>
    </w:p>
    <w:p>
      <w:pPr>
        <w:pStyle w:val="Ttulo1"/>
        <w:rPr>
          <w:szCs w:val="22"/>
        </w:rPr>
      </w:pPr>
      <w:bookmarkStart w:id="14" w:name="_2._BASE_DE"/>
      <w:bookmarkStart w:id="15" w:name="_Toc41376087"/>
      <w:bookmarkEnd w:id="14"/>
      <w:r>
        <w:rPr>
          <w:szCs w:val="22"/>
        </w:rPr>
        <w:t>2.</w:t>
      </w:r>
      <w:r>
        <w:rPr>
          <w:szCs w:val="22"/>
        </w:rPr>
        <w:tab/>
        <w:t>BASE DE PREPARAÇÃO E APRESENTAÇÃO DAS DEMONSTRAÇÕES CONTÁBEIS</w:t>
      </w:r>
      <w:bookmarkEnd w:id="15"/>
    </w:p>
    <w:p>
      <w:pPr>
        <w:rPr>
          <w:rFonts w:cs="Arial"/>
          <w:szCs w:val="22"/>
        </w:rPr>
      </w:pPr>
    </w:p>
    <w:p>
      <w:pPr>
        <w:ind w:firstLine="435"/>
        <w:rPr>
          <w:rFonts w:cs="Arial"/>
        </w:rPr>
      </w:pPr>
      <w:r>
        <w:rPr>
          <w:rFonts w:cs="Arial"/>
        </w:rPr>
        <w:t>As demonstrações contábeis intermediárias foram aprovadas pela Diretoria Executiva da Companhia em 26 de maio de 2020.</w:t>
      </w:r>
    </w:p>
    <w:p>
      <w:pPr>
        <w:rPr>
          <w:rFonts w:cs="Arial"/>
        </w:rPr>
      </w:pPr>
    </w:p>
    <w:p>
      <w:pPr>
        <w:pStyle w:val="Ttulo2"/>
      </w:pPr>
      <w:bookmarkStart w:id="16" w:name="_Toc41376088"/>
      <w:r>
        <w:t>2.1. Declaração de conformidade</w:t>
      </w:r>
      <w:bookmarkEnd w:id="16"/>
      <w:r>
        <w:t xml:space="preserve"> </w:t>
      </w:r>
    </w:p>
    <w:p>
      <w:pPr>
        <w:rPr>
          <w:rFonts w:cs="Arial"/>
        </w:rPr>
      </w:pPr>
    </w:p>
    <w:p>
      <w:pPr>
        <w:ind w:firstLine="435"/>
        <w:rPr>
          <w:rFonts w:cs="Arial"/>
        </w:rPr>
      </w:pPr>
      <w:r>
        <w:rPr>
          <w:rFonts w:cs="Arial"/>
        </w:rPr>
        <w:t>As demonstrações contábeis da Companhia foram preparadas de acordo com as normas internacionais de contabilidade (</w:t>
      </w:r>
      <w:proofErr w:type="spellStart"/>
      <w:r>
        <w:rPr>
          <w:rFonts w:cs="Arial"/>
        </w:rPr>
        <w:t>International</w:t>
      </w:r>
      <w:proofErr w:type="spellEnd"/>
      <w:r>
        <w:rPr>
          <w:rFonts w:cs="Arial"/>
        </w:rPr>
        <w:t xml:space="preserve"> Financial </w:t>
      </w:r>
      <w:proofErr w:type="spellStart"/>
      <w:r>
        <w:rPr>
          <w:rFonts w:cs="Arial"/>
        </w:rPr>
        <w:t>Reporting</w:t>
      </w:r>
      <w:proofErr w:type="spellEnd"/>
      <w:r>
        <w:rPr>
          <w:rFonts w:cs="Arial"/>
        </w:rPr>
        <w:t xml:space="preserve"> Standards – IFRS), emitidas pelo </w:t>
      </w:r>
      <w:proofErr w:type="spellStart"/>
      <w:r>
        <w:rPr>
          <w:rFonts w:cs="Arial"/>
        </w:rPr>
        <w:t>International</w:t>
      </w:r>
      <w:proofErr w:type="spellEnd"/>
      <w:r>
        <w:rPr>
          <w:rFonts w:cs="Arial"/>
        </w:rPr>
        <w:t xml:space="preserve"> </w:t>
      </w:r>
      <w:proofErr w:type="spellStart"/>
      <w:r>
        <w:rPr>
          <w:rFonts w:cs="Arial"/>
        </w:rPr>
        <w:t>Accounting</w:t>
      </w:r>
      <w:proofErr w:type="spellEnd"/>
      <w:r>
        <w:rPr>
          <w:rFonts w:cs="Arial"/>
        </w:rPr>
        <w:t xml:space="preserve"> Standards </w:t>
      </w:r>
      <w:proofErr w:type="spellStart"/>
      <w:r>
        <w:rPr>
          <w:rFonts w:cs="Arial"/>
        </w:rPr>
        <w:t>Board</w:t>
      </w:r>
      <w:proofErr w:type="spellEnd"/>
      <w:r>
        <w:rPr>
          <w:rFonts w:cs="Arial"/>
        </w:rPr>
        <w:t xml:space="preserve"> – IASB e as práticas contábeis adotadas no Brasil. Estas práticas contábeis compreendem os Pronunciamentos, Interpretações e Orientações emitidos pelo Comitê de Pronunciamentos Contábeis – CPC, os quais foram aprovados pela Comissão de Valores </w:t>
      </w:r>
      <w:r>
        <w:rPr>
          <w:rFonts w:cs="Arial"/>
        </w:rPr>
        <w:lastRenderedPageBreak/>
        <w:t xml:space="preserve">Mobiliários – CVM e pelo Conselho Federal de Contabilidade – CFC, incluindo também as normas complementares emitidas pela CVM. </w:t>
      </w:r>
    </w:p>
    <w:p>
      <w:pPr>
        <w:rPr>
          <w:rFonts w:cs="Arial"/>
        </w:rPr>
      </w:pPr>
    </w:p>
    <w:p>
      <w:pPr>
        <w:ind w:firstLine="435"/>
        <w:rPr>
          <w:rFonts w:cs="Arial"/>
        </w:rPr>
      </w:pPr>
      <w:r>
        <w:rPr>
          <w:rFonts w:cs="Arial"/>
        </w:rPr>
        <w:t xml:space="preserve">As demonstrações contábeis foram preparadas utilizando o custo histórico como base de valor, exceto pelas reavaliações realizadas em anos anteriores à data de transição, pelas opções de ações outorgadas e pela valorização de certos instrumentos financeiros, os quais são mensurados pelo valor justo. </w:t>
      </w:r>
    </w:p>
    <w:p>
      <w:pPr>
        <w:rPr>
          <w:rFonts w:cs="Arial"/>
        </w:rPr>
      </w:pPr>
    </w:p>
    <w:p>
      <w:pPr>
        <w:pStyle w:val="Ttulo2"/>
      </w:pPr>
      <w:bookmarkStart w:id="17" w:name="_Toc41376089"/>
      <w:r>
        <w:t>2.2.  Base de preparação e apresentação</w:t>
      </w:r>
      <w:bookmarkEnd w:id="17"/>
    </w:p>
    <w:p>
      <w:pPr>
        <w:rPr>
          <w:rFonts w:cs="Arial"/>
          <w:b/>
          <w:bCs/>
        </w:rPr>
      </w:pPr>
      <w:r>
        <w:rPr>
          <w:rFonts w:cs="Arial"/>
          <w:b/>
          <w:bCs/>
        </w:rPr>
        <w:t xml:space="preserve"> </w:t>
      </w:r>
    </w:p>
    <w:p>
      <w:pPr>
        <w:ind w:firstLine="435"/>
        <w:rPr>
          <w:rFonts w:cs="Arial"/>
        </w:rPr>
      </w:pPr>
      <w:r>
        <w:rPr>
          <w:rFonts w:cs="Arial"/>
        </w:rPr>
        <w:t xml:space="preserve">Todos os valores apresentados nestas demonstrações contábeis estão expressos em milhares de reais, exceto quando indicado de outro modo. Devido ao uso de arredondamentos, os números apresentados ao longo dessas demonstrações contábeis podem não perfazer precisamente os totais apresentados. Os dados quantitativos, tais como volumes não foram objeto de auditoria dos auditores independentes. </w:t>
      </w:r>
    </w:p>
    <w:p>
      <w:pPr>
        <w:rPr>
          <w:rFonts w:cs="Arial"/>
        </w:rPr>
      </w:pPr>
    </w:p>
    <w:p>
      <w:pPr>
        <w:ind w:firstLine="435"/>
        <w:rPr>
          <w:rFonts w:cs="Arial"/>
        </w:rPr>
      </w:pPr>
      <w:r>
        <w:rPr>
          <w:rFonts w:cs="Arial"/>
        </w:rPr>
        <w:t xml:space="preserve">Estas demonstrações financeiras intermediárias foram elaboradas e estão sendo apresentadas de acordo com o pronunciamento técnico CPC 21 – Demonstrações Intermediárias e com as normas internacionais IAS 34 – Interim Financial </w:t>
      </w:r>
      <w:proofErr w:type="spellStart"/>
      <w:r>
        <w:rPr>
          <w:rFonts w:cs="Arial"/>
        </w:rPr>
        <w:t>Reporting</w:t>
      </w:r>
      <w:proofErr w:type="spellEnd"/>
      <w:r>
        <w:rPr>
          <w:rFonts w:cs="Arial"/>
        </w:rPr>
        <w:t>, emitidas pelo IASB, e também com base nas disposições contidas na Lei das Sociedades por Ações, e apresentadas de forma condizente com as normas expedidas pela CVM, aplicáveis à elaboração das Informações Trimestrais – ITR.</w:t>
      </w:r>
    </w:p>
    <w:p>
      <w:pPr>
        <w:rPr>
          <w:rFonts w:cs="Arial"/>
        </w:rPr>
      </w:pPr>
    </w:p>
    <w:p>
      <w:pPr>
        <w:ind w:firstLine="435"/>
        <w:rPr>
          <w:rFonts w:cs="Arial"/>
        </w:rPr>
      </w:pPr>
      <w:r>
        <w:rPr>
          <w:rFonts w:cs="Arial"/>
        </w:rPr>
        <w:t>Essas informações intermediárias foram elaboradas seguindo a base de preparação e políticas contábeis consistentes com aquelas adotadas na elaboração das demonstrações contábeis de 31 de dezembro de 2019 e devem ser lidas em conjunto.</w:t>
      </w:r>
    </w:p>
    <w:p>
      <w:pPr>
        <w:rPr>
          <w:rFonts w:cs="Arial"/>
        </w:rPr>
      </w:pPr>
    </w:p>
    <w:p>
      <w:pPr>
        <w:ind w:firstLine="435"/>
        <w:rPr>
          <w:rFonts w:cs="Arial"/>
        </w:rPr>
      </w:pPr>
      <w:r>
        <w:rPr>
          <w:rFonts w:cs="Arial"/>
        </w:rPr>
        <w:t>As informações de notas explicativas que não sofreram alterações significativas em comparação a 31 de dezembro de 2019 não foram apresentadas integralmente nestas informações trimestrais.</w:t>
      </w:r>
    </w:p>
    <w:p>
      <w:pPr>
        <w:rPr>
          <w:rFonts w:cs="Arial"/>
        </w:rPr>
      </w:pPr>
    </w:p>
    <w:p>
      <w:pPr>
        <w:ind w:firstLine="435"/>
        <w:rPr>
          <w:rFonts w:cs="Arial"/>
        </w:rPr>
      </w:pPr>
      <w:r>
        <w:rPr>
          <w:rFonts w:cs="Arial"/>
        </w:rPr>
        <w:t>As informações relevantes próprias das demonstrações contábeis intermediárias, e somente elas, estão sendo evidenciadas e que correspondem às utilizadas pela administração na sua gestão.</w:t>
      </w:r>
    </w:p>
    <w:p>
      <w:pPr>
        <w:rPr>
          <w:rFonts w:cs="Arial"/>
          <w:strike/>
        </w:rPr>
      </w:pPr>
    </w:p>
    <w:p>
      <w:pPr>
        <w:pStyle w:val="Ttulo2"/>
      </w:pPr>
      <w:bookmarkStart w:id="18" w:name="_Toc41376090"/>
      <w:r>
        <w:t>2.3. Moeda funcional e de apresentação</w:t>
      </w:r>
      <w:bookmarkEnd w:id="18"/>
    </w:p>
    <w:p>
      <w:pPr>
        <w:rPr>
          <w:rFonts w:cs="Arial"/>
        </w:rPr>
      </w:pPr>
    </w:p>
    <w:p>
      <w:pPr>
        <w:ind w:firstLine="435"/>
        <w:rPr>
          <w:rFonts w:cs="Arial"/>
        </w:rPr>
      </w:pPr>
      <w:r>
        <w:rPr>
          <w:rFonts w:cs="Arial"/>
        </w:rPr>
        <w:t xml:space="preserve">As demonstrações contábeis foram preparadas e estão apresentadas em Reais (R$), que é a moeda funcional e de apresentação da Companhia.  A moeda funcional foi determinada em função do ambiente econômico primário de suas operações. </w:t>
      </w:r>
    </w:p>
    <w:p>
      <w:pPr>
        <w:rPr>
          <w:rFonts w:cs="Arial"/>
        </w:rPr>
      </w:pPr>
    </w:p>
    <w:p>
      <w:pPr>
        <w:rPr>
          <w:rFonts w:cs="Arial"/>
        </w:rPr>
      </w:pPr>
    </w:p>
    <w:p>
      <w:pPr>
        <w:pStyle w:val="Ttulo1"/>
      </w:pPr>
      <w:bookmarkStart w:id="19" w:name="_3._RESUMO_DAS"/>
      <w:bookmarkStart w:id="20" w:name="_Toc41376091"/>
      <w:bookmarkEnd w:id="19"/>
      <w:r>
        <w:t>3.</w:t>
      </w:r>
      <w:r>
        <w:tab/>
        <w:t>PRINCIPAIS PRÁTICAS CONTÁBEIS</w:t>
      </w:r>
      <w:bookmarkEnd w:id="20"/>
    </w:p>
    <w:p>
      <w:pPr>
        <w:pStyle w:val="WW-Recuodecorpodetexto2"/>
        <w:tabs>
          <w:tab w:val="left" w:pos="567"/>
        </w:tabs>
        <w:rPr>
          <w:b/>
          <w:bCs/>
          <w:szCs w:val="22"/>
        </w:rPr>
      </w:pPr>
    </w:p>
    <w:p>
      <w:pPr>
        <w:ind w:firstLine="426"/>
        <w:rPr>
          <w:rFonts w:cs="Arial"/>
          <w:bCs/>
        </w:rPr>
      </w:pPr>
      <w:r>
        <w:rPr>
          <w:rFonts w:cs="Arial"/>
          <w:bCs/>
        </w:rPr>
        <w:t>Essas informações contábeis intermediárias foram elaboradas seguindo a base de preparação e politicas contábeis consistentes com aquelas adotadas na elaboração das demonstrações contábeis de 31 de dezembro de 2019. A Companhia não adotou antecipadamente nenhuma norma ou interpretação emitida que ainda não esteja em vigor. Não houve efeitos ou alterações pela adoção das normas vigentes a partir de 1º de janeiro de 2020.</w:t>
      </w:r>
    </w:p>
    <w:p>
      <w:pPr>
        <w:pStyle w:val="Ttulo1"/>
        <w:ind w:left="284"/>
        <w:rPr>
          <w:rFonts w:cs="Arial"/>
        </w:rPr>
      </w:pPr>
      <w:bookmarkStart w:id="21" w:name="_4.__CAIXA_1"/>
      <w:bookmarkStart w:id="22" w:name="_Toc41376092"/>
      <w:bookmarkEnd w:id="21"/>
      <w:r>
        <w:lastRenderedPageBreak/>
        <w:t xml:space="preserve">4. </w:t>
      </w:r>
      <w:r>
        <w:tab/>
        <w:t>CAIXA E EQUIVALENTES DE CAIXA</w:t>
      </w:r>
      <w:bookmarkEnd w:id="22"/>
      <w:r>
        <w:rPr>
          <w:rFonts w:cs="Arial"/>
        </w:rPr>
        <w:t xml:space="preserve">        </w:t>
      </w:r>
      <w:r>
        <w:rPr>
          <w:rFonts w:cs="Arial"/>
          <w:bCs/>
        </w:rPr>
        <w:t xml:space="preserve"> </w:t>
      </w:r>
    </w:p>
    <w:tbl>
      <w:tblPr>
        <w:tblW w:w="9693" w:type="dxa"/>
        <w:tblLayout w:type="fixed"/>
        <w:tblCellMar>
          <w:left w:w="54" w:type="dxa"/>
          <w:right w:w="54" w:type="dxa"/>
        </w:tblCellMar>
        <w:tblLook w:val="0000" w:firstRow="0" w:lastRow="0" w:firstColumn="0" w:lastColumn="0" w:noHBand="0" w:noVBand="0"/>
      </w:tblPr>
      <w:tblGrid>
        <w:gridCol w:w="6008"/>
        <w:gridCol w:w="709"/>
        <w:gridCol w:w="1158"/>
        <w:gridCol w:w="63"/>
        <w:gridCol w:w="1701"/>
        <w:gridCol w:w="54"/>
      </w:tblGrid>
      <w:tr>
        <w:trPr>
          <w:trHeight w:val="254"/>
        </w:trPr>
        <w:tc>
          <w:tcPr>
            <w:tcW w:w="6008" w:type="dxa"/>
          </w:tcPr>
          <w:p>
            <w:bookmarkStart w:id="23" w:name="_4.__CAIXA"/>
            <w:bookmarkEnd w:id="23"/>
          </w:p>
        </w:tc>
        <w:tc>
          <w:tcPr>
            <w:tcW w:w="1867" w:type="dxa"/>
            <w:gridSpan w:val="2"/>
            <w:shd w:val="clear" w:color="auto" w:fill="auto"/>
          </w:tcPr>
          <w:p>
            <w:pPr>
              <w:pBdr>
                <w:bottom w:val="single" w:sz="4" w:space="1" w:color="000000"/>
              </w:pBdr>
              <w:autoSpaceDE w:val="0"/>
              <w:snapToGrid w:val="0"/>
              <w:jc w:val="right"/>
              <w:rPr>
                <w:rFonts w:cs="Arial"/>
                <w:b/>
                <w:bCs/>
                <w:szCs w:val="22"/>
              </w:rPr>
            </w:pPr>
            <w:r>
              <w:rPr>
                <w:rFonts w:cs="Arial"/>
                <w:b/>
                <w:bCs/>
                <w:szCs w:val="22"/>
              </w:rPr>
              <w:t>31.03.2020</w:t>
            </w:r>
          </w:p>
        </w:tc>
        <w:tc>
          <w:tcPr>
            <w:tcW w:w="1818" w:type="dxa"/>
            <w:gridSpan w:val="3"/>
            <w:shd w:val="clear" w:color="auto" w:fill="auto"/>
          </w:tcPr>
          <w:p>
            <w:pPr>
              <w:pBdr>
                <w:bottom w:val="single" w:sz="4" w:space="1" w:color="000000"/>
              </w:pBdr>
              <w:autoSpaceDE w:val="0"/>
              <w:snapToGrid w:val="0"/>
              <w:ind w:left="88" w:right="-54"/>
              <w:jc w:val="right"/>
              <w:rPr>
                <w:rFonts w:cs="Arial"/>
                <w:b/>
                <w:bCs/>
                <w:szCs w:val="22"/>
              </w:rPr>
            </w:pPr>
            <w:r>
              <w:rPr>
                <w:rFonts w:cs="Arial"/>
                <w:b/>
                <w:bCs/>
                <w:szCs w:val="22"/>
              </w:rPr>
              <w:t>31.12.2019</w:t>
            </w:r>
          </w:p>
        </w:tc>
      </w:tr>
      <w:tr>
        <w:trPr>
          <w:gridAfter w:val="1"/>
          <w:wAfter w:w="54" w:type="dxa"/>
          <w:cantSplit/>
          <w:trHeight w:val="284"/>
        </w:trPr>
        <w:tc>
          <w:tcPr>
            <w:tcW w:w="6717" w:type="dxa"/>
            <w:gridSpan w:val="2"/>
            <w:vAlign w:val="center"/>
          </w:tcPr>
          <w:p>
            <w:pPr>
              <w:autoSpaceDE w:val="0"/>
              <w:snapToGrid w:val="0"/>
              <w:rPr>
                <w:rFonts w:cs="Arial"/>
                <w:szCs w:val="22"/>
              </w:rPr>
            </w:pPr>
            <w:r>
              <w:rPr>
                <w:rFonts w:cs="Arial"/>
                <w:szCs w:val="22"/>
              </w:rPr>
              <w:t>Bancos Conta Movimento</w:t>
            </w:r>
          </w:p>
        </w:tc>
        <w:tc>
          <w:tcPr>
            <w:tcW w:w="1221" w:type="dxa"/>
            <w:gridSpan w:val="2"/>
            <w:vAlign w:val="center"/>
          </w:tcPr>
          <w:p>
            <w:pPr>
              <w:autoSpaceDE w:val="0"/>
              <w:snapToGrid w:val="0"/>
              <w:jc w:val="right"/>
              <w:rPr>
                <w:rFonts w:cs="Arial"/>
                <w:szCs w:val="22"/>
              </w:rPr>
            </w:pPr>
            <w:r>
              <w:rPr>
                <w:rFonts w:cs="Arial"/>
                <w:szCs w:val="22"/>
              </w:rPr>
              <w:t>7.793</w:t>
            </w:r>
          </w:p>
        </w:tc>
        <w:tc>
          <w:tcPr>
            <w:tcW w:w="1701" w:type="dxa"/>
            <w:vAlign w:val="center"/>
          </w:tcPr>
          <w:p>
            <w:pPr>
              <w:autoSpaceDE w:val="0"/>
              <w:snapToGrid w:val="0"/>
              <w:jc w:val="right"/>
              <w:rPr>
                <w:rFonts w:cs="Arial"/>
                <w:szCs w:val="22"/>
              </w:rPr>
            </w:pPr>
            <w:r>
              <w:rPr>
                <w:rFonts w:cs="Arial"/>
                <w:szCs w:val="22"/>
              </w:rPr>
              <w:t>3.668</w:t>
            </w:r>
          </w:p>
        </w:tc>
      </w:tr>
      <w:tr>
        <w:trPr>
          <w:gridAfter w:val="1"/>
          <w:wAfter w:w="54" w:type="dxa"/>
          <w:cantSplit/>
          <w:trHeight w:val="284"/>
        </w:trPr>
        <w:tc>
          <w:tcPr>
            <w:tcW w:w="6717" w:type="dxa"/>
            <w:gridSpan w:val="2"/>
            <w:vAlign w:val="center"/>
          </w:tcPr>
          <w:p>
            <w:pPr>
              <w:autoSpaceDE w:val="0"/>
              <w:snapToGrid w:val="0"/>
              <w:rPr>
                <w:rFonts w:cs="Arial"/>
                <w:szCs w:val="22"/>
              </w:rPr>
            </w:pPr>
            <w:r>
              <w:rPr>
                <w:rFonts w:cs="Arial"/>
                <w:szCs w:val="22"/>
              </w:rPr>
              <w:t>Caixa</w:t>
            </w:r>
          </w:p>
        </w:tc>
        <w:tc>
          <w:tcPr>
            <w:tcW w:w="1221" w:type="dxa"/>
            <w:gridSpan w:val="2"/>
            <w:vAlign w:val="center"/>
          </w:tcPr>
          <w:p>
            <w:pPr>
              <w:autoSpaceDE w:val="0"/>
              <w:snapToGrid w:val="0"/>
              <w:jc w:val="right"/>
              <w:rPr>
                <w:rFonts w:cs="Arial"/>
                <w:szCs w:val="22"/>
              </w:rPr>
            </w:pPr>
            <w:r>
              <w:rPr>
                <w:rFonts w:cs="Arial"/>
                <w:szCs w:val="22"/>
              </w:rPr>
              <w:t>33</w:t>
            </w:r>
          </w:p>
        </w:tc>
        <w:tc>
          <w:tcPr>
            <w:tcW w:w="1701" w:type="dxa"/>
            <w:vAlign w:val="center"/>
          </w:tcPr>
          <w:p>
            <w:pPr>
              <w:autoSpaceDE w:val="0"/>
              <w:snapToGrid w:val="0"/>
              <w:jc w:val="right"/>
              <w:rPr>
                <w:rFonts w:cs="Arial"/>
                <w:szCs w:val="22"/>
              </w:rPr>
            </w:pPr>
            <w:r>
              <w:rPr>
                <w:rFonts w:cs="Arial"/>
                <w:szCs w:val="22"/>
              </w:rPr>
              <w:t>35</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7.826</w:t>
            </w:r>
          </w:p>
        </w:tc>
        <w:tc>
          <w:tcPr>
            <w:tcW w:w="1818" w:type="dxa"/>
            <w:gridSpan w:val="3"/>
            <w:shd w:val="clear" w:color="auto" w:fill="auto"/>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3.703</w:t>
            </w:r>
          </w:p>
        </w:tc>
      </w:tr>
    </w:tbl>
    <w:p>
      <w:pPr>
        <w:pStyle w:val="Ttulo2"/>
        <w:rPr>
          <w:rStyle w:val="Ttulo2Char"/>
          <w:b/>
        </w:rPr>
      </w:pPr>
      <w:bookmarkStart w:id="24" w:name="_Toc41376093"/>
      <w:r>
        <w:rPr>
          <w:rStyle w:val="Ttulo2Char"/>
          <w:b/>
        </w:rPr>
        <w:t>4.1. Bancos Conta Movimento</w:t>
      </w:r>
      <w:bookmarkEnd w:id="24"/>
    </w:p>
    <w:p>
      <w:pPr>
        <w:ind w:firstLine="435"/>
        <w:rPr>
          <w:rFonts w:cs="Arial"/>
        </w:rPr>
      </w:pPr>
      <w:r>
        <w:rPr>
          <w:rFonts w:cs="Arial"/>
        </w:rPr>
        <w:t>Tratam-se de saldos em contas correntes mantidas com as instituições financeiras: Banco do Brasil, Caixa Econômica Federal e Santander.</w:t>
      </w:r>
    </w:p>
    <w:p>
      <w:pPr>
        <w:ind w:firstLine="435"/>
        <w:rPr>
          <w:rFonts w:cs="Arial"/>
        </w:rPr>
      </w:pPr>
    </w:p>
    <w:p>
      <w:pPr>
        <w:pStyle w:val="Ttulo2"/>
        <w:rPr>
          <w:rStyle w:val="Ttulo2Char"/>
          <w:b/>
        </w:rPr>
      </w:pPr>
      <w:bookmarkStart w:id="25" w:name="_Toc41376094"/>
      <w:r>
        <w:rPr>
          <w:rStyle w:val="Ttulo2Char"/>
          <w:b/>
        </w:rPr>
        <w:t>4.2. Caixa</w:t>
      </w:r>
      <w:bookmarkEnd w:id="25"/>
    </w:p>
    <w:p>
      <w:pPr>
        <w:ind w:firstLine="435"/>
        <w:rPr>
          <w:rFonts w:cs="Arial"/>
        </w:rPr>
      </w:pPr>
      <w:r>
        <w:rPr>
          <w:rFonts w:cs="Arial"/>
        </w:rPr>
        <w:t>Refere-se ao fundo fixo, saldo disponibilizado através de cartão de débito, utilizado para pagamento de pequenas despesas da Matriz e Unidades.</w:t>
      </w:r>
    </w:p>
    <w:p>
      <w:pPr>
        <w:tabs>
          <w:tab w:val="left" w:pos="1868"/>
        </w:tabs>
        <w:rPr>
          <w:rFonts w:cs="Arial"/>
        </w:rPr>
      </w:pPr>
      <w:r>
        <w:rPr>
          <w:rFonts w:cs="Arial"/>
        </w:rPr>
        <w:tab/>
      </w:r>
    </w:p>
    <w:p>
      <w:pPr>
        <w:pStyle w:val="Ttulo1"/>
        <w:rPr>
          <w:rFonts w:cs="Arial"/>
        </w:rPr>
      </w:pPr>
      <w:bookmarkStart w:id="26" w:name="_5.__CLIENTES_1"/>
      <w:bookmarkStart w:id="27" w:name="_Toc41376095"/>
      <w:bookmarkEnd w:id="26"/>
      <w:r>
        <w:t xml:space="preserve">5. </w:t>
      </w:r>
      <w:r>
        <w:tab/>
        <w:t>CLIENTES</w:t>
      </w:r>
      <w:bookmarkEnd w:id="27"/>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tcPr>
          <w:p>
            <w:bookmarkStart w:id="28" w:name="_5.__CLIENTES"/>
            <w:bookmarkEnd w:id="28"/>
          </w:p>
        </w:tc>
        <w:tc>
          <w:tcPr>
            <w:tcW w:w="1867" w:type="dxa"/>
            <w:shd w:val="clear" w:color="auto" w:fill="auto"/>
          </w:tcPr>
          <w:p>
            <w:pPr>
              <w:pBdr>
                <w:bottom w:val="single" w:sz="4" w:space="1" w:color="000000"/>
              </w:pBdr>
              <w:autoSpaceDE w:val="0"/>
              <w:snapToGrid w:val="0"/>
              <w:jc w:val="right"/>
              <w:rPr>
                <w:rFonts w:cs="Arial"/>
                <w:b/>
                <w:bCs/>
                <w:szCs w:val="22"/>
              </w:rPr>
            </w:pPr>
            <w:r>
              <w:rPr>
                <w:rFonts w:cs="Arial"/>
                <w:b/>
                <w:bCs/>
                <w:szCs w:val="22"/>
              </w:rPr>
              <w:t>31.03.2020</w:t>
            </w:r>
          </w:p>
        </w:tc>
        <w:tc>
          <w:tcPr>
            <w:tcW w:w="1818" w:type="dxa"/>
            <w:shd w:val="clear" w:color="auto" w:fill="auto"/>
          </w:tcPr>
          <w:p>
            <w:pPr>
              <w:pBdr>
                <w:bottom w:val="single" w:sz="4" w:space="1" w:color="000000"/>
              </w:pBdr>
              <w:autoSpaceDE w:val="0"/>
              <w:snapToGrid w:val="0"/>
              <w:ind w:left="88" w:right="-54"/>
              <w:jc w:val="right"/>
              <w:rPr>
                <w:rFonts w:cs="Arial"/>
                <w:b/>
                <w:bCs/>
                <w:szCs w:val="22"/>
              </w:rPr>
            </w:pPr>
            <w:r>
              <w:rPr>
                <w:rFonts w:cs="Arial"/>
                <w:b/>
                <w:bCs/>
                <w:szCs w:val="22"/>
              </w:rPr>
              <w:t>31.12.2019</w:t>
            </w:r>
          </w:p>
        </w:tc>
      </w:tr>
      <w:tr>
        <w:trPr>
          <w:trHeight w:val="284"/>
        </w:trPr>
        <w:tc>
          <w:tcPr>
            <w:tcW w:w="6008" w:type="dxa"/>
            <w:vAlign w:val="center"/>
          </w:tcPr>
          <w:p>
            <w:pPr>
              <w:autoSpaceDE w:val="0"/>
              <w:snapToGrid w:val="0"/>
              <w:rPr>
                <w:rFonts w:cs="Arial"/>
                <w:szCs w:val="22"/>
              </w:rPr>
            </w:pPr>
            <w:r>
              <w:rPr>
                <w:rFonts w:cs="Arial"/>
                <w:szCs w:val="22"/>
              </w:rPr>
              <w:t xml:space="preserve">Contas a Receber – </w:t>
            </w:r>
            <w:proofErr w:type="spellStart"/>
            <w:r>
              <w:rPr>
                <w:rFonts w:cs="Arial"/>
                <w:szCs w:val="22"/>
              </w:rPr>
              <w:t>Entrepostagem</w:t>
            </w:r>
            <w:proofErr w:type="spellEnd"/>
          </w:p>
        </w:tc>
        <w:tc>
          <w:tcPr>
            <w:tcW w:w="1867" w:type="dxa"/>
            <w:shd w:val="clear" w:color="auto" w:fill="auto"/>
            <w:vAlign w:val="center"/>
          </w:tcPr>
          <w:p>
            <w:pPr>
              <w:autoSpaceDE w:val="0"/>
              <w:snapToGrid w:val="0"/>
              <w:jc w:val="right"/>
              <w:rPr>
                <w:rFonts w:cs="Arial"/>
                <w:szCs w:val="22"/>
              </w:rPr>
            </w:pPr>
            <w:r>
              <w:rPr>
                <w:rFonts w:cs="Arial"/>
                <w:szCs w:val="22"/>
              </w:rPr>
              <w:t>27.900</w:t>
            </w:r>
          </w:p>
        </w:tc>
        <w:tc>
          <w:tcPr>
            <w:tcW w:w="1818" w:type="dxa"/>
            <w:shd w:val="clear" w:color="auto" w:fill="auto"/>
            <w:vAlign w:val="center"/>
          </w:tcPr>
          <w:p>
            <w:pPr>
              <w:autoSpaceDE w:val="0"/>
              <w:snapToGrid w:val="0"/>
              <w:jc w:val="right"/>
              <w:rPr>
                <w:rFonts w:cs="Arial"/>
                <w:szCs w:val="22"/>
              </w:rPr>
            </w:pPr>
            <w:r>
              <w:rPr>
                <w:rFonts w:cs="Arial"/>
                <w:szCs w:val="22"/>
              </w:rPr>
              <w:t>22.019</w:t>
            </w:r>
          </w:p>
        </w:tc>
      </w:tr>
      <w:tr>
        <w:trPr>
          <w:trHeight w:val="284"/>
        </w:trPr>
        <w:tc>
          <w:tcPr>
            <w:tcW w:w="6008" w:type="dxa"/>
            <w:vAlign w:val="center"/>
          </w:tcPr>
          <w:p>
            <w:pPr>
              <w:autoSpaceDE w:val="0"/>
              <w:snapToGrid w:val="0"/>
              <w:rPr>
                <w:rFonts w:cs="Arial"/>
                <w:szCs w:val="22"/>
              </w:rPr>
            </w:pPr>
            <w:r>
              <w:rPr>
                <w:rFonts w:cs="Arial"/>
                <w:szCs w:val="22"/>
              </w:rPr>
              <w:t>Contas a Receber – Armazenagem</w:t>
            </w:r>
          </w:p>
        </w:tc>
        <w:tc>
          <w:tcPr>
            <w:tcW w:w="1867" w:type="dxa"/>
            <w:shd w:val="clear" w:color="auto" w:fill="auto"/>
            <w:vAlign w:val="center"/>
          </w:tcPr>
          <w:p>
            <w:pPr>
              <w:autoSpaceDE w:val="0"/>
              <w:snapToGrid w:val="0"/>
              <w:jc w:val="right"/>
              <w:rPr>
                <w:rFonts w:cs="Arial"/>
                <w:szCs w:val="22"/>
              </w:rPr>
            </w:pPr>
            <w:r>
              <w:rPr>
                <w:rFonts w:cs="Arial"/>
                <w:szCs w:val="22"/>
              </w:rPr>
              <w:t>5.611</w:t>
            </w:r>
          </w:p>
        </w:tc>
        <w:tc>
          <w:tcPr>
            <w:tcW w:w="1818" w:type="dxa"/>
            <w:shd w:val="clear" w:color="auto" w:fill="auto"/>
            <w:vAlign w:val="center"/>
          </w:tcPr>
          <w:p>
            <w:pPr>
              <w:autoSpaceDE w:val="0"/>
              <w:snapToGrid w:val="0"/>
              <w:jc w:val="right"/>
              <w:rPr>
                <w:rFonts w:cs="Arial"/>
                <w:szCs w:val="22"/>
              </w:rPr>
            </w:pPr>
            <w:r>
              <w:rPr>
                <w:rFonts w:cs="Arial"/>
                <w:szCs w:val="22"/>
              </w:rPr>
              <w:t>2.930</w:t>
            </w:r>
          </w:p>
        </w:tc>
      </w:tr>
      <w:tr>
        <w:trPr>
          <w:trHeight w:val="284"/>
        </w:trPr>
        <w:tc>
          <w:tcPr>
            <w:tcW w:w="6008" w:type="dxa"/>
            <w:vAlign w:val="center"/>
          </w:tcPr>
          <w:p>
            <w:pPr>
              <w:autoSpaceDE w:val="0"/>
              <w:snapToGrid w:val="0"/>
              <w:rPr>
                <w:rFonts w:cs="Arial"/>
                <w:szCs w:val="22"/>
              </w:rPr>
            </w:pPr>
            <w:r>
              <w:rPr>
                <w:rFonts w:cs="Arial"/>
                <w:szCs w:val="22"/>
              </w:rPr>
              <w:t>Valores em Cobrança</w:t>
            </w:r>
          </w:p>
        </w:tc>
        <w:tc>
          <w:tcPr>
            <w:tcW w:w="1867" w:type="dxa"/>
            <w:shd w:val="clear" w:color="auto" w:fill="auto"/>
            <w:vAlign w:val="center"/>
          </w:tcPr>
          <w:p>
            <w:pPr>
              <w:autoSpaceDE w:val="0"/>
              <w:snapToGrid w:val="0"/>
              <w:jc w:val="right"/>
              <w:rPr>
                <w:rFonts w:cs="Arial"/>
                <w:szCs w:val="22"/>
              </w:rPr>
            </w:pPr>
            <w:r>
              <w:rPr>
                <w:rFonts w:cs="Arial"/>
                <w:szCs w:val="22"/>
              </w:rPr>
              <w:t>2.021</w:t>
            </w:r>
          </w:p>
        </w:tc>
        <w:tc>
          <w:tcPr>
            <w:tcW w:w="1818" w:type="dxa"/>
            <w:shd w:val="clear" w:color="auto" w:fill="auto"/>
            <w:vAlign w:val="center"/>
          </w:tcPr>
          <w:p>
            <w:pPr>
              <w:autoSpaceDE w:val="0"/>
              <w:snapToGrid w:val="0"/>
              <w:jc w:val="right"/>
              <w:rPr>
                <w:rFonts w:cs="Arial"/>
                <w:szCs w:val="22"/>
              </w:rPr>
            </w:pPr>
            <w:r>
              <w:rPr>
                <w:rFonts w:cs="Arial"/>
                <w:szCs w:val="22"/>
              </w:rPr>
              <w:t>2.493</w:t>
            </w:r>
          </w:p>
        </w:tc>
      </w:tr>
      <w:tr>
        <w:trPr>
          <w:trHeight w:val="284"/>
        </w:trPr>
        <w:tc>
          <w:tcPr>
            <w:tcW w:w="6008" w:type="dxa"/>
            <w:vAlign w:val="center"/>
          </w:tcPr>
          <w:p>
            <w:pPr>
              <w:autoSpaceDE w:val="0"/>
              <w:snapToGrid w:val="0"/>
              <w:rPr>
                <w:rFonts w:cs="Arial"/>
                <w:szCs w:val="22"/>
              </w:rPr>
            </w:pPr>
            <w:r>
              <w:rPr>
                <w:rFonts w:cs="Arial"/>
                <w:szCs w:val="22"/>
              </w:rPr>
              <w:t>(-) Perdas Estimadas em Créditos de Liquidação Duvidosa - PECLD</w:t>
            </w:r>
          </w:p>
        </w:tc>
        <w:tc>
          <w:tcPr>
            <w:tcW w:w="1867" w:type="dxa"/>
            <w:shd w:val="clear" w:color="auto" w:fill="auto"/>
            <w:vAlign w:val="center"/>
          </w:tcPr>
          <w:p>
            <w:pPr>
              <w:autoSpaceDE w:val="0"/>
              <w:snapToGrid w:val="0"/>
              <w:jc w:val="right"/>
              <w:rPr>
                <w:rFonts w:cs="Arial"/>
                <w:szCs w:val="22"/>
              </w:rPr>
            </w:pPr>
            <w:r>
              <w:rPr>
                <w:rFonts w:cs="Arial"/>
                <w:szCs w:val="22"/>
              </w:rPr>
              <w:t>(2.270)</w:t>
            </w:r>
          </w:p>
        </w:tc>
        <w:tc>
          <w:tcPr>
            <w:tcW w:w="1818" w:type="dxa"/>
            <w:shd w:val="clear" w:color="auto" w:fill="auto"/>
            <w:vAlign w:val="center"/>
          </w:tcPr>
          <w:p>
            <w:pPr>
              <w:autoSpaceDE w:val="0"/>
              <w:snapToGrid w:val="0"/>
              <w:jc w:val="right"/>
              <w:rPr>
                <w:rFonts w:cs="Arial"/>
                <w:szCs w:val="22"/>
              </w:rPr>
            </w:pPr>
            <w:r>
              <w:rPr>
                <w:rFonts w:cs="Arial"/>
                <w:szCs w:val="22"/>
              </w:rPr>
              <w:t>(2.806)</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shd w:val="clear" w:color="auto" w:fill="auto"/>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33.262</w:t>
            </w:r>
          </w:p>
        </w:tc>
        <w:tc>
          <w:tcPr>
            <w:tcW w:w="1818" w:type="dxa"/>
            <w:shd w:val="clear" w:color="auto" w:fill="auto"/>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24.636</w:t>
            </w:r>
          </w:p>
        </w:tc>
      </w:tr>
    </w:tbl>
    <w:p>
      <w:pPr>
        <w:pStyle w:val="WW-Recuodecorpodetexto2"/>
        <w:tabs>
          <w:tab w:val="left" w:pos="567"/>
        </w:tabs>
        <w:rPr>
          <w:bCs/>
          <w:szCs w:val="22"/>
        </w:rPr>
      </w:pPr>
      <w:r>
        <w:rPr>
          <w:bCs/>
          <w:szCs w:val="22"/>
        </w:rPr>
        <w:tab/>
        <w:t>Os créditos a receber são decorrentes da prestação de serviços e estão registrados pelo valor original, deduzidos da PECLD.</w:t>
      </w:r>
    </w:p>
    <w:p>
      <w:pPr>
        <w:pStyle w:val="WW-Recuodecorpodetexto2"/>
        <w:tabs>
          <w:tab w:val="left" w:pos="567"/>
        </w:tabs>
        <w:rPr>
          <w:bCs/>
          <w:szCs w:val="22"/>
        </w:rPr>
      </w:pPr>
    </w:p>
    <w:p>
      <w:pPr>
        <w:pStyle w:val="Ttulo2"/>
        <w:rPr>
          <w:rStyle w:val="Ttulo2Char"/>
          <w:b/>
        </w:rPr>
      </w:pPr>
      <w:bookmarkStart w:id="29" w:name="_Toc41376096"/>
      <w:r>
        <w:rPr>
          <w:rStyle w:val="Ttulo2Char"/>
          <w:b/>
        </w:rPr>
        <w:t xml:space="preserve">5.1. Contas a Receber – </w:t>
      </w:r>
      <w:proofErr w:type="spellStart"/>
      <w:r>
        <w:rPr>
          <w:rStyle w:val="Ttulo2Char"/>
          <w:b/>
        </w:rPr>
        <w:t>Entrepostagem</w:t>
      </w:r>
      <w:bookmarkEnd w:id="29"/>
      <w:proofErr w:type="spellEnd"/>
    </w:p>
    <w:p>
      <w:pPr>
        <w:pStyle w:val="WW-Recuodecorpodetexto2"/>
        <w:tabs>
          <w:tab w:val="left" w:pos="567"/>
        </w:tabs>
        <w:ind w:firstLine="426"/>
        <w:rPr>
          <w:bCs/>
          <w:szCs w:val="22"/>
        </w:rPr>
      </w:pPr>
      <w:r>
        <w:rPr>
          <w:bCs/>
          <w:szCs w:val="22"/>
        </w:rPr>
        <w:t xml:space="preserve">São registrados os valores a receber da principal fonte de receita da Companhia. A rede de entrepostos é composta por 12 Unidades no interior, 1 na Capital, 4 Unidades frigoríficas e a fábrica de gelo. A variação registrada nesta nomenclatura está relacionada ao aumento na recuperação pelo rateio dos custos operacionais, principalmente de </w:t>
      </w:r>
      <w:r>
        <w:rPr>
          <w:rStyle w:val="Ttulo2Char"/>
          <w:b w:val="0"/>
        </w:rPr>
        <w:t xml:space="preserve">Imposto Predial, Territorial e Urbano - </w:t>
      </w:r>
      <w:r>
        <w:rPr>
          <w:bCs/>
          <w:szCs w:val="22"/>
        </w:rPr>
        <w:t>IPTU em aproximadamente R$ 3 milhões e serviços de limpeza em R$ 1,5 milhão.</w:t>
      </w:r>
    </w:p>
    <w:p>
      <w:pPr>
        <w:pStyle w:val="WW-Recuodecorpodetexto2"/>
        <w:tabs>
          <w:tab w:val="left" w:pos="567"/>
        </w:tabs>
        <w:rPr>
          <w:bCs/>
          <w:szCs w:val="22"/>
        </w:rPr>
      </w:pPr>
    </w:p>
    <w:p>
      <w:pPr>
        <w:pStyle w:val="Ttulo2"/>
        <w:rPr>
          <w:rStyle w:val="Ttulo2Char"/>
          <w:b/>
        </w:rPr>
      </w:pPr>
      <w:bookmarkStart w:id="30" w:name="_Toc41376097"/>
      <w:r>
        <w:rPr>
          <w:rStyle w:val="Ttulo2Char"/>
          <w:b/>
        </w:rPr>
        <w:t>5.2. Contas a Receber – Armazenagem</w:t>
      </w:r>
      <w:bookmarkEnd w:id="30"/>
    </w:p>
    <w:p>
      <w:pPr>
        <w:pStyle w:val="WW-Recuodecorpodetexto2"/>
        <w:tabs>
          <w:tab w:val="left" w:pos="567"/>
        </w:tabs>
        <w:ind w:firstLine="426"/>
        <w:rPr>
          <w:bCs/>
          <w:szCs w:val="22"/>
        </w:rPr>
      </w:pPr>
      <w:r>
        <w:rPr>
          <w:bCs/>
          <w:szCs w:val="22"/>
        </w:rPr>
        <w:t xml:space="preserve">Consiste em valores a receber de clientes da rede armazenadora, composta por 33 Unidades ativas em 31 de dezembro de 2019. Houve aumento de R$ 2,681 milhões em relação a 31 de dezembro de 2019 e está relacionado ao recebimentos de produtos da safra de </w:t>
      </w:r>
      <w:r>
        <w:rPr>
          <w:bCs/>
        </w:rPr>
        <w:t>trigo, soja e açúcar.</w:t>
      </w:r>
    </w:p>
    <w:p>
      <w:pPr>
        <w:pStyle w:val="WW-Recuodecorpodetexto2"/>
        <w:tabs>
          <w:tab w:val="clear" w:pos="8647"/>
          <w:tab w:val="clear" w:pos="10773"/>
          <w:tab w:val="left" w:pos="1576"/>
        </w:tabs>
        <w:rPr>
          <w:bCs/>
          <w:szCs w:val="22"/>
        </w:rPr>
      </w:pPr>
      <w:r>
        <w:rPr>
          <w:bCs/>
          <w:szCs w:val="22"/>
        </w:rPr>
        <w:tab/>
      </w:r>
    </w:p>
    <w:p>
      <w:pPr>
        <w:pStyle w:val="Ttulo2"/>
        <w:rPr>
          <w:rStyle w:val="Ttulo2Char"/>
          <w:b/>
        </w:rPr>
      </w:pPr>
      <w:bookmarkStart w:id="31" w:name="_Toc41376098"/>
      <w:r>
        <w:rPr>
          <w:rStyle w:val="Ttulo2Char"/>
          <w:b/>
        </w:rPr>
        <w:t>5.3. Valores em Cobrança</w:t>
      </w:r>
      <w:bookmarkEnd w:id="31"/>
    </w:p>
    <w:p>
      <w:pPr>
        <w:pStyle w:val="WW-Recuodecorpodetexto2"/>
        <w:tabs>
          <w:tab w:val="left" w:pos="567"/>
        </w:tabs>
        <w:ind w:firstLine="426"/>
        <w:rPr>
          <w:bCs/>
          <w:szCs w:val="22"/>
        </w:rPr>
      </w:pPr>
      <w:r>
        <w:rPr>
          <w:bCs/>
          <w:szCs w:val="22"/>
        </w:rPr>
        <w:t>São débitos vencidos relativos a permissões, autorizações ou concessões canceladas ou de clientes/depositantes da rede armazenadora.</w:t>
      </w:r>
    </w:p>
    <w:p>
      <w:pPr>
        <w:pStyle w:val="WW-Recuodecorpodetexto2"/>
        <w:tabs>
          <w:tab w:val="left" w:pos="567"/>
        </w:tabs>
        <w:rPr>
          <w:b/>
          <w:bCs/>
          <w:szCs w:val="22"/>
        </w:rPr>
      </w:pPr>
      <w:r>
        <w:rPr>
          <w:b/>
          <w:bCs/>
          <w:szCs w:val="22"/>
        </w:rPr>
        <w:t xml:space="preserve"> </w:t>
      </w:r>
    </w:p>
    <w:p>
      <w:pPr>
        <w:pStyle w:val="Ttulo2"/>
        <w:rPr>
          <w:rStyle w:val="Ttulo2Char"/>
          <w:b/>
        </w:rPr>
      </w:pPr>
      <w:bookmarkStart w:id="32" w:name="_5.4_–_Provisão"/>
      <w:bookmarkStart w:id="33" w:name="_Toc41376099"/>
      <w:bookmarkEnd w:id="32"/>
      <w:r>
        <w:rPr>
          <w:rStyle w:val="Ttulo2Char"/>
          <w:b/>
        </w:rPr>
        <w:t>5.4. Perdas Estimadas em Créditos de Liquidação Duvidosa</w:t>
      </w:r>
      <w:bookmarkEnd w:id="33"/>
    </w:p>
    <w:p>
      <w:pPr>
        <w:ind w:firstLine="435"/>
        <w:rPr>
          <w:b/>
          <w:szCs w:val="22"/>
        </w:rPr>
      </w:pPr>
      <w:r>
        <w:rPr>
          <w:rFonts w:cs="Arial"/>
          <w:szCs w:val="22"/>
        </w:rPr>
        <w:t xml:space="preserve">A Companhia adota como política as perdas estimadas das parcelas com vencimentos superiores a 180 dias. No ramo de </w:t>
      </w:r>
      <w:proofErr w:type="spellStart"/>
      <w:r>
        <w:rPr>
          <w:rFonts w:cs="Arial"/>
          <w:szCs w:val="22"/>
        </w:rPr>
        <w:t>entrepostagem</w:t>
      </w:r>
      <w:proofErr w:type="spellEnd"/>
      <w:r>
        <w:rPr>
          <w:rFonts w:cs="Arial"/>
          <w:szCs w:val="22"/>
        </w:rPr>
        <w:t xml:space="preserve"> é considerado o total dos valores vencidos, enquanto que na Armazenagem é considerado o montante do valor complementar, no caso da mercadoria estocada ser insuficiente para a garantia do débito.</w:t>
      </w:r>
    </w:p>
    <w:p>
      <w:pPr>
        <w:pStyle w:val="WW-Recuodecorpodetexto2"/>
        <w:tabs>
          <w:tab w:val="left" w:pos="567"/>
        </w:tabs>
        <w:rPr>
          <w:b/>
          <w:bCs/>
          <w:szCs w:val="22"/>
        </w:rPr>
      </w:pPr>
    </w:p>
    <w:tbl>
      <w:tblPr>
        <w:tblW w:w="9756" w:type="dxa"/>
        <w:tblLayout w:type="fixed"/>
        <w:tblCellMar>
          <w:left w:w="54" w:type="dxa"/>
          <w:right w:w="54" w:type="dxa"/>
        </w:tblCellMar>
        <w:tblLook w:val="0000" w:firstRow="0" w:lastRow="0" w:firstColumn="0" w:lastColumn="0" w:noHBand="0" w:noVBand="0"/>
      </w:tblPr>
      <w:tblGrid>
        <w:gridCol w:w="7938"/>
        <w:gridCol w:w="1818"/>
      </w:tblGrid>
      <w:tr>
        <w:trPr>
          <w:trHeight w:val="254"/>
        </w:trPr>
        <w:tc>
          <w:tcPr>
            <w:tcW w:w="7938" w:type="dxa"/>
          </w:tcPr>
          <w:p>
            <w:pPr>
              <w:autoSpaceDE w:val="0"/>
              <w:snapToGrid w:val="0"/>
              <w:rPr>
                <w:rFonts w:cs="Arial"/>
                <w:szCs w:val="22"/>
              </w:rPr>
            </w:pPr>
            <w:r>
              <w:rPr>
                <w:rFonts w:cs="Arial"/>
                <w:b/>
                <w:bCs/>
              </w:rPr>
              <w:t>DEMONSTRAÇÃO DA PECLD</w:t>
            </w:r>
          </w:p>
        </w:tc>
        <w:tc>
          <w:tcPr>
            <w:tcW w:w="1818" w:type="dxa"/>
            <w:shd w:val="clear" w:color="auto" w:fill="auto"/>
          </w:tcPr>
          <w:p>
            <w:pPr>
              <w:pBdr>
                <w:bottom w:val="single" w:sz="4" w:space="1" w:color="000000"/>
              </w:pBdr>
              <w:autoSpaceDE w:val="0"/>
              <w:snapToGrid w:val="0"/>
              <w:ind w:left="88" w:right="-54"/>
              <w:jc w:val="right"/>
              <w:rPr>
                <w:rFonts w:cs="Arial"/>
                <w:b/>
                <w:bCs/>
                <w:szCs w:val="22"/>
              </w:rPr>
            </w:pPr>
            <w:r>
              <w:rPr>
                <w:rFonts w:cs="Arial"/>
                <w:b/>
                <w:bCs/>
                <w:szCs w:val="22"/>
              </w:rPr>
              <w:t>31.03.2020</w:t>
            </w:r>
          </w:p>
        </w:tc>
      </w:tr>
      <w:tr>
        <w:trPr>
          <w:trHeight w:val="284"/>
        </w:trPr>
        <w:tc>
          <w:tcPr>
            <w:tcW w:w="7938" w:type="dxa"/>
            <w:vAlign w:val="center"/>
          </w:tcPr>
          <w:p>
            <w:pPr>
              <w:autoSpaceDE w:val="0"/>
              <w:snapToGrid w:val="0"/>
              <w:rPr>
                <w:rFonts w:cs="Arial"/>
                <w:szCs w:val="22"/>
              </w:rPr>
            </w:pPr>
            <w:r>
              <w:rPr>
                <w:rFonts w:cs="Arial"/>
                <w:szCs w:val="22"/>
              </w:rPr>
              <w:t xml:space="preserve"> Saldo em 31.12.2019</w:t>
            </w:r>
          </w:p>
        </w:tc>
        <w:tc>
          <w:tcPr>
            <w:tcW w:w="1818" w:type="dxa"/>
            <w:shd w:val="clear" w:color="auto" w:fill="auto"/>
            <w:vAlign w:val="center"/>
          </w:tcPr>
          <w:p>
            <w:pPr>
              <w:tabs>
                <w:tab w:val="left" w:pos="1930"/>
              </w:tabs>
              <w:autoSpaceDE w:val="0"/>
              <w:snapToGrid w:val="0"/>
              <w:ind w:right="-54"/>
              <w:jc w:val="right"/>
              <w:rPr>
                <w:rFonts w:cs="Arial"/>
                <w:szCs w:val="22"/>
              </w:rPr>
            </w:pPr>
            <w:r>
              <w:rPr>
                <w:rFonts w:cs="Arial"/>
                <w:szCs w:val="22"/>
              </w:rPr>
              <w:t>(2.806)</w:t>
            </w:r>
          </w:p>
        </w:tc>
      </w:tr>
      <w:tr>
        <w:trPr>
          <w:trHeight w:val="284"/>
        </w:trPr>
        <w:tc>
          <w:tcPr>
            <w:tcW w:w="7938" w:type="dxa"/>
            <w:vAlign w:val="center"/>
          </w:tcPr>
          <w:p>
            <w:pPr>
              <w:autoSpaceDE w:val="0"/>
              <w:snapToGrid w:val="0"/>
              <w:rPr>
                <w:rFonts w:cs="Arial"/>
                <w:szCs w:val="22"/>
              </w:rPr>
            </w:pPr>
            <w:r>
              <w:rPr>
                <w:rFonts w:cs="Arial"/>
                <w:szCs w:val="22"/>
              </w:rPr>
              <w:t xml:space="preserve"> (+) Constituídas no período</w:t>
            </w:r>
          </w:p>
        </w:tc>
        <w:tc>
          <w:tcPr>
            <w:tcW w:w="1818" w:type="dxa"/>
            <w:shd w:val="clear" w:color="auto" w:fill="auto"/>
            <w:vAlign w:val="center"/>
          </w:tcPr>
          <w:p>
            <w:pPr>
              <w:tabs>
                <w:tab w:val="left" w:pos="1930"/>
              </w:tabs>
              <w:autoSpaceDE w:val="0"/>
              <w:snapToGrid w:val="0"/>
              <w:ind w:right="-54"/>
              <w:jc w:val="right"/>
              <w:rPr>
                <w:rFonts w:cs="Arial"/>
                <w:szCs w:val="22"/>
              </w:rPr>
            </w:pPr>
            <w:r>
              <w:rPr>
                <w:rFonts w:cs="Arial"/>
                <w:szCs w:val="22"/>
              </w:rPr>
              <w:t>(304)</w:t>
            </w:r>
          </w:p>
        </w:tc>
      </w:tr>
      <w:tr>
        <w:trPr>
          <w:trHeight w:val="284"/>
        </w:trPr>
        <w:tc>
          <w:tcPr>
            <w:tcW w:w="7938" w:type="dxa"/>
            <w:vAlign w:val="center"/>
          </w:tcPr>
          <w:p>
            <w:pPr>
              <w:autoSpaceDE w:val="0"/>
              <w:snapToGrid w:val="0"/>
              <w:rPr>
                <w:rFonts w:cs="Arial"/>
                <w:szCs w:val="22"/>
              </w:rPr>
            </w:pPr>
            <w:r>
              <w:rPr>
                <w:rFonts w:cs="Arial"/>
                <w:szCs w:val="22"/>
              </w:rPr>
              <w:t xml:space="preserve"> (-) Reversões ocorridas no período</w:t>
            </w:r>
          </w:p>
        </w:tc>
        <w:tc>
          <w:tcPr>
            <w:tcW w:w="1818" w:type="dxa"/>
            <w:shd w:val="clear" w:color="auto" w:fill="auto"/>
            <w:vAlign w:val="center"/>
          </w:tcPr>
          <w:p>
            <w:pPr>
              <w:tabs>
                <w:tab w:val="left" w:pos="1930"/>
              </w:tabs>
              <w:autoSpaceDE w:val="0"/>
              <w:snapToGrid w:val="0"/>
              <w:ind w:right="-54"/>
              <w:jc w:val="right"/>
              <w:rPr>
                <w:rFonts w:cs="Arial"/>
                <w:szCs w:val="22"/>
              </w:rPr>
            </w:pPr>
            <w:r>
              <w:rPr>
                <w:rFonts w:cs="Arial"/>
                <w:szCs w:val="22"/>
              </w:rPr>
              <w:t>840</w:t>
            </w:r>
          </w:p>
        </w:tc>
      </w:tr>
      <w:tr>
        <w:trPr>
          <w:trHeight w:val="316"/>
        </w:trPr>
        <w:tc>
          <w:tcPr>
            <w:tcW w:w="7938" w:type="dxa"/>
          </w:tcPr>
          <w:p>
            <w:pPr>
              <w:autoSpaceDE w:val="0"/>
              <w:snapToGrid w:val="0"/>
              <w:rPr>
                <w:rFonts w:cs="Arial"/>
                <w:szCs w:val="22"/>
              </w:rPr>
            </w:pPr>
            <w:r>
              <w:rPr>
                <w:rFonts w:cs="Arial"/>
                <w:szCs w:val="22"/>
              </w:rPr>
              <w:t xml:space="preserve"> Saldo final em 31.03.2020</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(2.270)</w:t>
            </w:r>
          </w:p>
        </w:tc>
      </w:tr>
    </w:tbl>
    <w:p>
      <w:pPr>
        <w:pStyle w:val="WW-Recuodecorpodetexto2"/>
        <w:tabs>
          <w:tab w:val="left" w:pos="567"/>
        </w:tabs>
        <w:rPr>
          <w:b/>
          <w:bCs/>
          <w:szCs w:val="22"/>
        </w:rPr>
      </w:pPr>
    </w:p>
    <w:p>
      <w:pPr>
        <w:pStyle w:val="WW-Recuodecorpodetexto2"/>
        <w:tabs>
          <w:tab w:val="left" w:pos="567"/>
        </w:tabs>
        <w:rPr>
          <w:b/>
          <w:bCs/>
          <w:szCs w:val="22"/>
        </w:rPr>
      </w:pPr>
    </w:p>
    <w:p>
      <w:pPr>
        <w:pStyle w:val="Ttulo1"/>
        <w:rPr>
          <w:bCs/>
        </w:rPr>
      </w:pPr>
      <w:bookmarkStart w:id="34" w:name="_6._IMPOSTOS_A_1"/>
      <w:bookmarkStart w:id="35" w:name="_Toc41376100"/>
      <w:bookmarkEnd w:id="34"/>
      <w:r>
        <w:t>6.</w:t>
      </w:r>
      <w:r>
        <w:tab/>
        <w:t>IMPOSTOS A RECUPERAR / COMPENSAR</w:t>
      </w:r>
      <w:bookmarkEnd w:id="35"/>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vAlign w:val="center"/>
          </w:tcPr>
          <w:p>
            <w:pPr>
              <w:pStyle w:val="Ttulo1"/>
              <w:rPr>
                <w:i/>
                <w:iCs/>
                <w:szCs w:val="22"/>
              </w:rPr>
            </w:pPr>
            <w:bookmarkStart w:id="36" w:name="_6._IMPOSTOS_A"/>
            <w:bookmarkEnd w:id="36"/>
          </w:p>
        </w:tc>
        <w:tc>
          <w:tcPr>
            <w:tcW w:w="1867" w:type="dxa"/>
            <w:shd w:val="clear" w:color="auto" w:fill="auto"/>
          </w:tcPr>
          <w:p>
            <w:pPr>
              <w:pBdr>
                <w:bottom w:val="single" w:sz="4" w:space="1" w:color="000000"/>
              </w:pBdr>
              <w:autoSpaceDE w:val="0"/>
              <w:snapToGrid w:val="0"/>
              <w:jc w:val="right"/>
              <w:rPr>
                <w:rFonts w:cs="Arial"/>
                <w:b/>
                <w:bCs/>
                <w:szCs w:val="22"/>
              </w:rPr>
            </w:pPr>
            <w:r>
              <w:rPr>
                <w:rFonts w:cs="Arial"/>
                <w:b/>
                <w:bCs/>
                <w:szCs w:val="22"/>
              </w:rPr>
              <w:t>31.03.2020</w:t>
            </w:r>
          </w:p>
        </w:tc>
        <w:tc>
          <w:tcPr>
            <w:tcW w:w="1818" w:type="dxa"/>
            <w:shd w:val="clear" w:color="auto" w:fill="auto"/>
          </w:tcPr>
          <w:p>
            <w:pPr>
              <w:pBdr>
                <w:bottom w:val="single" w:sz="4" w:space="1" w:color="000000"/>
              </w:pBdr>
              <w:autoSpaceDE w:val="0"/>
              <w:snapToGrid w:val="0"/>
              <w:ind w:left="88" w:right="-54"/>
              <w:jc w:val="right"/>
              <w:rPr>
                <w:rFonts w:cs="Arial"/>
                <w:b/>
                <w:bCs/>
                <w:szCs w:val="22"/>
              </w:rPr>
            </w:pPr>
            <w:r>
              <w:rPr>
                <w:rFonts w:cs="Arial"/>
                <w:b/>
                <w:bCs/>
                <w:szCs w:val="22"/>
              </w:rPr>
              <w:t>31.12.2019</w:t>
            </w:r>
          </w:p>
        </w:tc>
      </w:tr>
      <w:tr>
        <w:trPr>
          <w:trHeight w:val="284"/>
        </w:trPr>
        <w:tc>
          <w:tcPr>
            <w:tcW w:w="6008" w:type="dxa"/>
            <w:vAlign w:val="center"/>
          </w:tcPr>
          <w:p>
            <w:pPr>
              <w:autoSpaceDE w:val="0"/>
              <w:snapToGrid w:val="0"/>
              <w:rPr>
                <w:rFonts w:cs="Arial"/>
              </w:rPr>
            </w:pPr>
            <w:r>
              <w:rPr>
                <w:rFonts w:cs="Arial"/>
              </w:rPr>
              <w:t>IR a Compensar</w:t>
            </w:r>
          </w:p>
        </w:tc>
        <w:tc>
          <w:tcPr>
            <w:tcW w:w="1867" w:type="dxa"/>
            <w:shd w:val="clear" w:color="auto" w:fill="auto"/>
            <w:vAlign w:val="center"/>
          </w:tcPr>
          <w:p>
            <w:pPr>
              <w:autoSpaceDE w:val="0"/>
              <w:snapToGrid w:val="0"/>
              <w:jc w:val="right"/>
              <w:rPr>
                <w:rFonts w:cs="Arial"/>
              </w:rPr>
            </w:pPr>
            <w:r>
              <w:rPr>
                <w:rFonts w:cs="Arial"/>
              </w:rPr>
              <w:t>132</w:t>
            </w:r>
          </w:p>
        </w:tc>
        <w:tc>
          <w:tcPr>
            <w:tcW w:w="1818" w:type="dxa"/>
            <w:shd w:val="clear" w:color="auto" w:fill="auto"/>
            <w:vAlign w:val="center"/>
          </w:tcPr>
          <w:p>
            <w:pPr>
              <w:autoSpaceDE w:val="0"/>
              <w:snapToGrid w:val="0"/>
              <w:jc w:val="right"/>
              <w:rPr>
                <w:rFonts w:cs="Arial"/>
              </w:rPr>
            </w:pPr>
            <w:r>
              <w:rPr>
                <w:rFonts w:cs="Arial"/>
              </w:rPr>
              <w:t>117</w:t>
            </w:r>
          </w:p>
        </w:tc>
      </w:tr>
      <w:tr>
        <w:trPr>
          <w:trHeight w:val="284"/>
        </w:trPr>
        <w:tc>
          <w:tcPr>
            <w:tcW w:w="6008" w:type="dxa"/>
            <w:vAlign w:val="center"/>
          </w:tcPr>
          <w:p>
            <w:pPr>
              <w:autoSpaceDE w:val="0"/>
              <w:snapToGrid w:val="0"/>
              <w:rPr>
                <w:rFonts w:cs="Arial"/>
              </w:rPr>
            </w:pPr>
            <w:r>
              <w:rPr>
                <w:rFonts w:cs="Arial"/>
              </w:rPr>
              <w:t>IR Retido na Fonte</w:t>
            </w:r>
          </w:p>
        </w:tc>
        <w:tc>
          <w:tcPr>
            <w:tcW w:w="1867" w:type="dxa"/>
            <w:shd w:val="clear" w:color="auto" w:fill="auto"/>
            <w:vAlign w:val="center"/>
          </w:tcPr>
          <w:p>
            <w:pPr>
              <w:autoSpaceDE w:val="0"/>
              <w:snapToGrid w:val="0"/>
              <w:jc w:val="right"/>
              <w:rPr>
                <w:rFonts w:cs="Arial"/>
              </w:rPr>
            </w:pPr>
            <w:r>
              <w:rPr>
                <w:rFonts w:cs="Arial"/>
              </w:rPr>
              <w:t>74</w:t>
            </w:r>
          </w:p>
        </w:tc>
        <w:tc>
          <w:tcPr>
            <w:tcW w:w="1818" w:type="dxa"/>
            <w:shd w:val="clear" w:color="auto" w:fill="auto"/>
            <w:vAlign w:val="center"/>
          </w:tcPr>
          <w:p>
            <w:pPr>
              <w:autoSpaceDE w:val="0"/>
              <w:snapToGrid w:val="0"/>
              <w:jc w:val="right"/>
              <w:rPr>
                <w:rFonts w:cs="Arial"/>
              </w:rPr>
            </w:pPr>
            <w:r>
              <w:rPr>
                <w:rFonts w:cs="Arial"/>
              </w:rPr>
              <w:t>74</w:t>
            </w:r>
          </w:p>
        </w:tc>
      </w:tr>
      <w:tr>
        <w:trPr>
          <w:trHeight w:val="284"/>
        </w:trPr>
        <w:tc>
          <w:tcPr>
            <w:tcW w:w="6008" w:type="dxa"/>
            <w:vAlign w:val="center"/>
          </w:tcPr>
          <w:p>
            <w:pPr>
              <w:autoSpaceDE w:val="0"/>
              <w:snapToGrid w:val="0"/>
              <w:rPr>
                <w:rFonts w:cs="Arial"/>
              </w:rPr>
            </w:pPr>
            <w:r>
              <w:rPr>
                <w:rFonts w:cs="Arial"/>
              </w:rPr>
              <w:t>CSLL a Compensar</w:t>
            </w:r>
          </w:p>
        </w:tc>
        <w:tc>
          <w:tcPr>
            <w:tcW w:w="1867" w:type="dxa"/>
            <w:shd w:val="clear" w:color="auto" w:fill="auto"/>
            <w:vAlign w:val="center"/>
          </w:tcPr>
          <w:p>
            <w:pPr>
              <w:autoSpaceDE w:val="0"/>
              <w:snapToGrid w:val="0"/>
              <w:jc w:val="right"/>
              <w:rPr>
                <w:rFonts w:cs="Arial"/>
              </w:rPr>
            </w:pPr>
            <w:r>
              <w:rPr>
                <w:rFonts w:cs="Arial"/>
              </w:rPr>
              <w:t>28</w:t>
            </w:r>
          </w:p>
        </w:tc>
        <w:tc>
          <w:tcPr>
            <w:tcW w:w="1818" w:type="dxa"/>
            <w:shd w:val="clear" w:color="auto" w:fill="auto"/>
            <w:vAlign w:val="center"/>
          </w:tcPr>
          <w:p>
            <w:pPr>
              <w:autoSpaceDE w:val="0"/>
              <w:snapToGrid w:val="0"/>
              <w:jc w:val="right"/>
              <w:rPr>
                <w:rFonts w:cs="Arial"/>
              </w:rPr>
            </w:pPr>
            <w:r>
              <w:rPr>
                <w:rFonts w:cs="Arial"/>
              </w:rPr>
              <w:t>25</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shd w:val="clear" w:color="auto" w:fill="auto"/>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234</w:t>
            </w:r>
          </w:p>
        </w:tc>
        <w:tc>
          <w:tcPr>
            <w:tcW w:w="1818" w:type="dxa"/>
            <w:shd w:val="clear" w:color="auto" w:fill="auto"/>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216</w:t>
            </w:r>
          </w:p>
        </w:tc>
      </w:tr>
    </w:tbl>
    <w:p>
      <w:pPr>
        <w:pStyle w:val="WW-Recuodecorpodetexto2"/>
        <w:tabs>
          <w:tab w:val="left" w:pos="567"/>
        </w:tabs>
        <w:rPr>
          <w:b/>
          <w:bCs/>
          <w:szCs w:val="22"/>
        </w:rPr>
      </w:pPr>
    </w:p>
    <w:p>
      <w:pPr>
        <w:pStyle w:val="WW-Recuodecorpodetexto2"/>
        <w:tabs>
          <w:tab w:val="left" w:pos="567"/>
        </w:tabs>
        <w:rPr>
          <w:bCs/>
          <w:szCs w:val="22"/>
        </w:rPr>
      </w:pPr>
      <w:r>
        <w:rPr>
          <w:bCs/>
          <w:szCs w:val="22"/>
        </w:rPr>
        <w:tab/>
        <w:t>Corresponde à retenção obrigatória realizada por clientes, aplicações em instituições financeiras e IR retido na fonte de juros sobre capital próprio recebido.</w:t>
      </w:r>
    </w:p>
    <w:p>
      <w:pPr>
        <w:pStyle w:val="WW-Recuodecorpodetexto2"/>
        <w:tabs>
          <w:tab w:val="left" w:pos="567"/>
        </w:tabs>
        <w:rPr>
          <w:bCs/>
          <w:szCs w:val="22"/>
        </w:rPr>
      </w:pPr>
    </w:p>
    <w:p>
      <w:pPr>
        <w:pStyle w:val="WW-Recuodecorpodetexto2"/>
        <w:tabs>
          <w:tab w:val="left" w:pos="567"/>
        </w:tabs>
        <w:rPr>
          <w:bCs/>
          <w:szCs w:val="22"/>
        </w:rPr>
      </w:pPr>
    </w:p>
    <w:p>
      <w:pPr>
        <w:pStyle w:val="Ttulo1"/>
        <w:rPr>
          <w:bCs/>
        </w:rPr>
      </w:pPr>
      <w:bookmarkStart w:id="37" w:name="_7._ESTOQUES_1"/>
      <w:bookmarkStart w:id="38" w:name="_Toc41376101"/>
      <w:bookmarkEnd w:id="37"/>
      <w:r>
        <w:t>7.</w:t>
      </w:r>
      <w:r>
        <w:tab/>
        <w:t>ESTOQUES</w:t>
      </w:r>
      <w:bookmarkEnd w:id="38"/>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vAlign w:val="center"/>
          </w:tcPr>
          <w:p>
            <w:pPr>
              <w:pStyle w:val="Ttulo1"/>
              <w:rPr>
                <w:i/>
                <w:iCs/>
                <w:szCs w:val="22"/>
              </w:rPr>
            </w:pPr>
            <w:bookmarkStart w:id="39" w:name="_7._ESTOQUES"/>
            <w:bookmarkEnd w:id="39"/>
          </w:p>
        </w:tc>
        <w:tc>
          <w:tcPr>
            <w:tcW w:w="1867" w:type="dxa"/>
            <w:shd w:val="clear" w:color="auto" w:fill="auto"/>
          </w:tcPr>
          <w:p>
            <w:pPr>
              <w:pBdr>
                <w:bottom w:val="single" w:sz="4" w:space="1" w:color="000000"/>
              </w:pBdr>
              <w:autoSpaceDE w:val="0"/>
              <w:snapToGrid w:val="0"/>
              <w:jc w:val="right"/>
              <w:rPr>
                <w:rFonts w:cs="Arial"/>
                <w:b/>
                <w:bCs/>
                <w:szCs w:val="22"/>
              </w:rPr>
            </w:pPr>
            <w:r>
              <w:rPr>
                <w:rFonts w:cs="Arial"/>
                <w:b/>
                <w:bCs/>
                <w:szCs w:val="22"/>
              </w:rPr>
              <w:t>31.03.2020</w:t>
            </w:r>
          </w:p>
        </w:tc>
        <w:tc>
          <w:tcPr>
            <w:tcW w:w="1818" w:type="dxa"/>
            <w:shd w:val="clear" w:color="auto" w:fill="auto"/>
          </w:tcPr>
          <w:p>
            <w:pPr>
              <w:pBdr>
                <w:bottom w:val="single" w:sz="4" w:space="1" w:color="000000"/>
              </w:pBdr>
              <w:autoSpaceDE w:val="0"/>
              <w:snapToGrid w:val="0"/>
              <w:ind w:left="88" w:right="-54"/>
              <w:jc w:val="right"/>
              <w:rPr>
                <w:rFonts w:cs="Arial"/>
                <w:b/>
                <w:bCs/>
                <w:szCs w:val="22"/>
              </w:rPr>
            </w:pPr>
            <w:r>
              <w:rPr>
                <w:rFonts w:cs="Arial"/>
                <w:b/>
                <w:bCs/>
                <w:szCs w:val="22"/>
              </w:rPr>
              <w:t>31.12.2019</w:t>
            </w:r>
          </w:p>
        </w:tc>
      </w:tr>
      <w:tr>
        <w:trPr>
          <w:trHeight w:val="284"/>
        </w:trPr>
        <w:tc>
          <w:tcPr>
            <w:tcW w:w="6008" w:type="dxa"/>
            <w:vAlign w:val="center"/>
          </w:tcPr>
          <w:p>
            <w:pPr>
              <w:autoSpaceDE w:val="0"/>
              <w:snapToGrid w:val="0"/>
              <w:rPr>
                <w:rFonts w:cs="Arial"/>
                <w:szCs w:val="22"/>
              </w:rPr>
            </w:pPr>
            <w:r>
              <w:rPr>
                <w:rFonts w:cs="Arial"/>
                <w:szCs w:val="22"/>
              </w:rPr>
              <w:t>Almoxarifado</w:t>
            </w:r>
          </w:p>
        </w:tc>
        <w:tc>
          <w:tcPr>
            <w:tcW w:w="1867" w:type="dxa"/>
            <w:shd w:val="clear" w:color="auto" w:fill="auto"/>
            <w:vAlign w:val="center"/>
          </w:tcPr>
          <w:p>
            <w:pPr>
              <w:autoSpaceDE w:val="0"/>
              <w:snapToGrid w:val="0"/>
              <w:jc w:val="right"/>
              <w:rPr>
                <w:rFonts w:cs="Arial"/>
                <w:szCs w:val="22"/>
              </w:rPr>
            </w:pPr>
            <w:r>
              <w:rPr>
                <w:rFonts w:cs="Arial"/>
                <w:szCs w:val="22"/>
              </w:rPr>
              <w:t>657</w:t>
            </w:r>
          </w:p>
        </w:tc>
        <w:tc>
          <w:tcPr>
            <w:tcW w:w="1818" w:type="dxa"/>
            <w:shd w:val="clear" w:color="auto" w:fill="auto"/>
            <w:vAlign w:val="center"/>
          </w:tcPr>
          <w:p>
            <w:pPr>
              <w:autoSpaceDE w:val="0"/>
              <w:snapToGrid w:val="0"/>
              <w:jc w:val="right"/>
              <w:rPr>
                <w:rFonts w:cs="Arial"/>
                <w:szCs w:val="22"/>
              </w:rPr>
            </w:pPr>
            <w:r>
              <w:rPr>
                <w:rFonts w:cs="Arial"/>
                <w:szCs w:val="22"/>
              </w:rPr>
              <w:t>809</w:t>
            </w:r>
          </w:p>
        </w:tc>
      </w:tr>
      <w:tr>
        <w:trPr>
          <w:trHeight w:val="284"/>
        </w:trPr>
        <w:tc>
          <w:tcPr>
            <w:tcW w:w="6008" w:type="dxa"/>
            <w:vAlign w:val="center"/>
          </w:tcPr>
          <w:p>
            <w:pPr>
              <w:autoSpaceDE w:val="0"/>
              <w:snapToGrid w:val="0"/>
              <w:rPr>
                <w:rFonts w:cs="Arial"/>
                <w:szCs w:val="22"/>
              </w:rPr>
            </w:pPr>
            <w:r>
              <w:rPr>
                <w:rFonts w:cs="Arial"/>
                <w:szCs w:val="22"/>
              </w:rPr>
              <w:t>Estoques de Vendas</w:t>
            </w:r>
          </w:p>
        </w:tc>
        <w:tc>
          <w:tcPr>
            <w:tcW w:w="1867" w:type="dxa"/>
            <w:shd w:val="clear" w:color="auto" w:fill="auto"/>
            <w:vAlign w:val="center"/>
          </w:tcPr>
          <w:p>
            <w:pPr>
              <w:autoSpaceDE w:val="0"/>
              <w:snapToGrid w:val="0"/>
              <w:jc w:val="right"/>
              <w:rPr>
                <w:rFonts w:cs="Arial"/>
                <w:szCs w:val="22"/>
              </w:rPr>
            </w:pPr>
            <w:r>
              <w:rPr>
                <w:rFonts w:cs="Arial"/>
                <w:szCs w:val="22"/>
              </w:rPr>
              <w:t>7</w:t>
            </w:r>
          </w:p>
        </w:tc>
        <w:tc>
          <w:tcPr>
            <w:tcW w:w="1818" w:type="dxa"/>
            <w:shd w:val="clear" w:color="auto" w:fill="auto"/>
            <w:vAlign w:val="center"/>
          </w:tcPr>
          <w:p>
            <w:pPr>
              <w:autoSpaceDE w:val="0"/>
              <w:snapToGrid w:val="0"/>
              <w:jc w:val="right"/>
              <w:rPr>
                <w:rFonts w:cs="Arial"/>
                <w:szCs w:val="22"/>
              </w:rPr>
            </w:pPr>
            <w:r>
              <w:rPr>
                <w:rFonts w:cs="Arial"/>
                <w:szCs w:val="22"/>
              </w:rPr>
              <w:t>70</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664</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879</w:t>
            </w:r>
          </w:p>
        </w:tc>
      </w:tr>
    </w:tbl>
    <w:p>
      <w:pPr>
        <w:rPr>
          <w:rFonts w:cs="Arial"/>
        </w:rPr>
      </w:pPr>
    </w:p>
    <w:p>
      <w:pPr>
        <w:ind w:firstLine="709"/>
        <w:rPr>
          <w:rFonts w:cs="Arial"/>
        </w:rPr>
      </w:pPr>
      <w:r>
        <w:rPr>
          <w:rFonts w:cs="Arial"/>
        </w:rPr>
        <w:t>Os estoques da Companhia são avaliados pelo custo médio de aquisição.</w:t>
      </w:r>
    </w:p>
    <w:p>
      <w:pPr>
        <w:rPr>
          <w:rFonts w:cs="Arial"/>
        </w:rPr>
      </w:pPr>
    </w:p>
    <w:p>
      <w:pPr>
        <w:rPr>
          <w:rFonts w:cs="Arial"/>
        </w:rPr>
      </w:pPr>
    </w:p>
    <w:p>
      <w:pPr>
        <w:rPr>
          <w:rFonts w:cs="Arial"/>
        </w:rPr>
      </w:pPr>
    </w:p>
    <w:p>
      <w:pPr>
        <w:rPr>
          <w:rFonts w:cs="Arial"/>
        </w:rPr>
      </w:pPr>
    </w:p>
    <w:p>
      <w:pPr>
        <w:pStyle w:val="Ttulo1"/>
        <w:rPr>
          <w:rFonts w:cs="Arial"/>
        </w:rPr>
      </w:pPr>
      <w:bookmarkStart w:id="40" w:name="_8._OUTROS_VALORES_1"/>
      <w:bookmarkStart w:id="41" w:name="_Toc41376102"/>
      <w:bookmarkEnd w:id="40"/>
      <w:r>
        <w:t>8.</w:t>
      </w:r>
      <w:r>
        <w:tab/>
        <w:t>OUTROS VALORES</w:t>
      </w:r>
      <w:bookmarkEnd w:id="41"/>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vAlign w:val="center"/>
          </w:tcPr>
          <w:p>
            <w:pPr>
              <w:pStyle w:val="Ttulo1"/>
              <w:rPr>
                <w:iCs/>
                <w:szCs w:val="22"/>
              </w:rPr>
            </w:pPr>
            <w:bookmarkStart w:id="42" w:name="_8._OUTROS_VALORES"/>
            <w:bookmarkEnd w:id="42"/>
          </w:p>
        </w:tc>
        <w:tc>
          <w:tcPr>
            <w:tcW w:w="1843" w:type="dxa"/>
          </w:tcPr>
          <w:p>
            <w:pPr>
              <w:pBdr>
                <w:bottom w:val="single" w:sz="4" w:space="1" w:color="000000"/>
              </w:pBdr>
              <w:autoSpaceDE w:val="0"/>
              <w:snapToGrid w:val="0"/>
              <w:jc w:val="right"/>
              <w:rPr>
                <w:rFonts w:cs="Arial"/>
                <w:b/>
                <w:bCs/>
                <w:szCs w:val="22"/>
              </w:rPr>
            </w:pPr>
            <w:r>
              <w:rPr>
                <w:rFonts w:cs="Arial"/>
                <w:b/>
                <w:bCs/>
                <w:szCs w:val="22"/>
              </w:rPr>
              <w:t>31.03.2020</w:t>
            </w:r>
          </w:p>
        </w:tc>
        <w:tc>
          <w:tcPr>
            <w:tcW w:w="1842" w:type="dxa"/>
            <w:gridSpan w:val="2"/>
          </w:tcPr>
          <w:p>
            <w:pPr>
              <w:pBdr>
                <w:bottom w:val="single" w:sz="4" w:space="1" w:color="000000"/>
              </w:pBdr>
              <w:autoSpaceDE w:val="0"/>
              <w:snapToGrid w:val="0"/>
              <w:ind w:left="88" w:right="-54"/>
              <w:jc w:val="right"/>
              <w:rPr>
                <w:rFonts w:cs="Arial"/>
                <w:b/>
                <w:bCs/>
                <w:szCs w:val="22"/>
              </w:rPr>
            </w:pPr>
            <w:r>
              <w:rPr>
                <w:rFonts w:cs="Arial"/>
                <w:b/>
                <w:bCs/>
                <w:szCs w:val="22"/>
              </w:rPr>
              <w:t>31.12.2019</w:t>
            </w:r>
          </w:p>
        </w:tc>
      </w:tr>
      <w:tr>
        <w:trPr>
          <w:trHeight w:val="281"/>
        </w:trPr>
        <w:tc>
          <w:tcPr>
            <w:tcW w:w="6008" w:type="dxa"/>
          </w:tcPr>
          <w:p>
            <w:pPr>
              <w:autoSpaceDE w:val="0"/>
              <w:snapToGrid w:val="0"/>
              <w:rPr>
                <w:rFonts w:cs="Arial"/>
                <w:szCs w:val="22"/>
              </w:rPr>
            </w:pPr>
            <w:r>
              <w:rPr>
                <w:rFonts w:cs="Arial"/>
                <w:szCs w:val="22"/>
              </w:rPr>
              <w:t>Adiantamentos a Funcionários</w:t>
            </w:r>
          </w:p>
        </w:tc>
        <w:tc>
          <w:tcPr>
            <w:tcW w:w="1843" w:type="dxa"/>
          </w:tcPr>
          <w:p>
            <w:pPr>
              <w:tabs>
                <w:tab w:val="left" w:pos="1383"/>
                <w:tab w:val="left" w:pos="1930"/>
              </w:tabs>
              <w:autoSpaceDE w:val="0"/>
              <w:snapToGrid w:val="0"/>
              <w:jc w:val="right"/>
              <w:rPr>
                <w:rFonts w:cs="Arial"/>
                <w:szCs w:val="22"/>
              </w:rPr>
            </w:pPr>
            <w:r>
              <w:rPr>
                <w:rFonts w:cs="Arial"/>
                <w:szCs w:val="22"/>
              </w:rPr>
              <w:t>128</w:t>
            </w:r>
          </w:p>
        </w:tc>
        <w:tc>
          <w:tcPr>
            <w:tcW w:w="1842" w:type="dxa"/>
            <w:gridSpan w:val="2"/>
          </w:tcPr>
          <w:p>
            <w:pPr>
              <w:tabs>
                <w:tab w:val="left" w:pos="1383"/>
                <w:tab w:val="left" w:pos="1930"/>
              </w:tabs>
              <w:autoSpaceDE w:val="0"/>
              <w:snapToGrid w:val="0"/>
              <w:jc w:val="right"/>
              <w:rPr>
                <w:rFonts w:cs="Arial"/>
                <w:szCs w:val="22"/>
              </w:rPr>
            </w:pPr>
            <w:r>
              <w:rPr>
                <w:rFonts w:cs="Arial"/>
                <w:szCs w:val="22"/>
              </w:rPr>
              <w:t>137</w:t>
            </w:r>
          </w:p>
        </w:tc>
      </w:tr>
      <w:tr>
        <w:trPr>
          <w:trHeight w:val="281"/>
        </w:trPr>
        <w:tc>
          <w:tcPr>
            <w:tcW w:w="6008" w:type="dxa"/>
          </w:tcPr>
          <w:p>
            <w:pPr>
              <w:autoSpaceDE w:val="0"/>
              <w:snapToGrid w:val="0"/>
              <w:rPr>
                <w:rFonts w:cs="Arial"/>
                <w:szCs w:val="22"/>
              </w:rPr>
            </w:pPr>
            <w:r>
              <w:rPr>
                <w:rFonts w:cs="Arial"/>
                <w:szCs w:val="22"/>
              </w:rPr>
              <w:t>Outros Créditos</w:t>
            </w:r>
          </w:p>
        </w:tc>
        <w:tc>
          <w:tcPr>
            <w:tcW w:w="1843" w:type="dxa"/>
          </w:tcPr>
          <w:p>
            <w:pPr>
              <w:tabs>
                <w:tab w:val="left" w:pos="1383"/>
                <w:tab w:val="left" w:pos="1789"/>
              </w:tabs>
              <w:autoSpaceDE w:val="0"/>
              <w:snapToGrid w:val="0"/>
              <w:jc w:val="right"/>
              <w:rPr>
                <w:rFonts w:cs="Arial"/>
                <w:szCs w:val="22"/>
              </w:rPr>
            </w:pPr>
            <w:r>
              <w:rPr>
                <w:rFonts w:cs="Arial"/>
                <w:szCs w:val="22"/>
              </w:rPr>
              <w:t>54</w:t>
            </w:r>
          </w:p>
        </w:tc>
        <w:tc>
          <w:tcPr>
            <w:tcW w:w="1842" w:type="dxa"/>
            <w:gridSpan w:val="2"/>
          </w:tcPr>
          <w:p>
            <w:pPr>
              <w:tabs>
                <w:tab w:val="left" w:pos="1383"/>
                <w:tab w:val="left" w:pos="1789"/>
              </w:tabs>
              <w:autoSpaceDE w:val="0"/>
              <w:snapToGrid w:val="0"/>
              <w:jc w:val="right"/>
              <w:rPr>
                <w:rFonts w:cs="Arial"/>
                <w:szCs w:val="22"/>
              </w:rPr>
            </w:pPr>
            <w:r>
              <w:rPr>
                <w:rFonts w:cs="Arial"/>
                <w:szCs w:val="22"/>
              </w:rPr>
              <w:t>51</w:t>
            </w:r>
          </w:p>
        </w:tc>
      </w:tr>
      <w:tr>
        <w:trPr>
          <w:trHeight w:val="281"/>
        </w:trPr>
        <w:tc>
          <w:tcPr>
            <w:tcW w:w="6008" w:type="dxa"/>
            <w:vAlign w:val="center"/>
          </w:tcPr>
          <w:p>
            <w:pPr>
              <w:autoSpaceDE w:val="0"/>
              <w:snapToGrid w:val="0"/>
              <w:rPr>
                <w:rFonts w:cs="Arial"/>
                <w:szCs w:val="22"/>
              </w:rPr>
            </w:pPr>
            <w:r>
              <w:rPr>
                <w:rFonts w:cs="Arial"/>
                <w:szCs w:val="22"/>
              </w:rPr>
              <w:t>Cauções para Garantias Diversas</w:t>
            </w:r>
          </w:p>
        </w:tc>
        <w:tc>
          <w:tcPr>
            <w:tcW w:w="1843" w:type="dxa"/>
            <w:vAlign w:val="center"/>
          </w:tcPr>
          <w:p>
            <w:pPr>
              <w:tabs>
                <w:tab w:val="left" w:pos="1789"/>
              </w:tabs>
              <w:autoSpaceDE w:val="0"/>
              <w:snapToGrid w:val="0"/>
              <w:ind w:right="-196"/>
              <w:jc w:val="center"/>
              <w:rPr>
                <w:rFonts w:cs="Arial"/>
                <w:szCs w:val="22"/>
              </w:rPr>
            </w:pPr>
            <w:r>
              <w:rPr>
                <w:rFonts w:cs="Arial"/>
                <w:szCs w:val="22"/>
              </w:rPr>
              <w:t xml:space="preserve">                     17 </w:t>
            </w:r>
          </w:p>
        </w:tc>
        <w:tc>
          <w:tcPr>
            <w:tcW w:w="1842" w:type="dxa"/>
            <w:gridSpan w:val="2"/>
            <w:vAlign w:val="center"/>
          </w:tcPr>
          <w:p>
            <w:pPr>
              <w:tabs>
                <w:tab w:val="left" w:pos="1789"/>
              </w:tabs>
              <w:autoSpaceDE w:val="0"/>
              <w:snapToGrid w:val="0"/>
              <w:ind w:right="-196"/>
              <w:jc w:val="center"/>
              <w:rPr>
                <w:rFonts w:cs="Arial"/>
                <w:szCs w:val="22"/>
              </w:rPr>
            </w:pPr>
            <w:r>
              <w:rPr>
                <w:rFonts w:cs="Arial"/>
                <w:szCs w:val="22"/>
              </w:rPr>
              <w:t xml:space="preserve">                     17 </w:t>
            </w:r>
          </w:p>
        </w:tc>
      </w:tr>
      <w:tr>
        <w:trPr>
          <w:trHeight w:val="316"/>
        </w:trPr>
        <w:tc>
          <w:tcPr>
            <w:tcW w:w="6008" w:type="dxa"/>
            <w:vAlign w:val="center"/>
          </w:tcPr>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199</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205</w:t>
            </w:r>
          </w:p>
        </w:tc>
      </w:tr>
    </w:tbl>
    <w:p>
      <w:pPr>
        <w:pStyle w:val="Ttulo2"/>
        <w:rPr>
          <w:rStyle w:val="Ttulo2Char"/>
          <w:b/>
        </w:rPr>
      </w:pPr>
      <w:bookmarkStart w:id="43" w:name="_Toc41376103"/>
      <w:r>
        <w:rPr>
          <w:rStyle w:val="Ttulo2Char"/>
          <w:b/>
        </w:rPr>
        <w:t>8.1. Adiantamentos a Funcionários</w:t>
      </w:r>
      <w:bookmarkEnd w:id="43"/>
    </w:p>
    <w:p>
      <w:pPr>
        <w:ind w:firstLine="426"/>
        <w:rPr>
          <w:rFonts w:cs="Arial"/>
          <w:color w:val="3366FF"/>
          <w:szCs w:val="22"/>
        </w:rPr>
      </w:pPr>
      <w:r>
        <w:rPr>
          <w:rFonts w:cs="Arial"/>
        </w:rPr>
        <w:t>São registrados adiantamentos de férias, salários, 13º salário e custeio para viagens.</w:t>
      </w:r>
    </w:p>
    <w:p>
      <w:pPr>
        <w:rPr>
          <w:rFonts w:cs="Arial"/>
        </w:rPr>
      </w:pPr>
    </w:p>
    <w:p>
      <w:pPr>
        <w:pStyle w:val="Ttulo2"/>
        <w:rPr>
          <w:rStyle w:val="Ttulo2Char"/>
          <w:b/>
        </w:rPr>
      </w:pPr>
      <w:bookmarkStart w:id="44" w:name="_Toc41376104"/>
      <w:r>
        <w:rPr>
          <w:rStyle w:val="Ttulo2Char"/>
          <w:b/>
        </w:rPr>
        <w:t>8.2. Outros Créditos</w:t>
      </w:r>
      <w:bookmarkEnd w:id="44"/>
    </w:p>
    <w:p>
      <w:pPr>
        <w:ind w:firstLine="435"/>
        <w:rPr>
          <w:rFonts w:cs="Arial"/>
        </w:rPr>
      </w:pPr>
      <w:r>
        <w:rPr>
          <w:rFonts w:cs="Arial"/>
        </w:rPr>
        <w:t>Estão registrados valores a recuperar de funcionários, como insuficiência salarial.</w:t>
      </w:r>
    </w:p>
    <w:p>
      <w:pPr>
        <w:pStyle w:val="Ttulo2"/>
        <w:rPr>
          <w:rStyle w:val="Ttulo2Char"/>
          <w:b/>
        </w:rPr>
      </w:pPr>
    </w:p>
    <w:p>
      <w:pPr>
        <w:pStyle w:val="Ttulo2"/>
        <w:rPr>
          <w:rStyle w:val="Ttulo2Char"/>
          <w:b/>
        </w:rPr>
      </w:pPr>
      <w:bookmarkStart w:id="45" w:name="_Toc41376105"/>
      <w:r>
        <w:rPr>
          <w:rStyle w:val="Ttulo2Char"/>
          <w:b/>
        </w:rPr>
        <w:t>8.3. Cauções para Garantias Diversas</w:t>
      </w:r>
      <w:bookmarkEnd w:id="45"/>
    </w:p>
    <w:p>
      <w:pPr>
        <w:ind w:firstLine="435"/>
        <w:rPr>
          <w:rFonts w:cs="Arial"/>
          <w:szCs w:val="22"/>
        </w:rPr>
      </w:pPr>
      <w:r>
        <w:rPr>
          <w:rFonts w:cs="Arial"/>
          <w:szCs w:val="22"/>
        </w:rPr>
        <w:t>Valor a recuperar referente garantia contratual.</w:t>
      </w:r>
    </w:p>
    <w:p>
      <w:pPr>
        <w:pStyle w:val="Ttulo1"/>
        <w:rPr>
          <w:rFonts w:cs="Arial"/>
          <w:color w:val="3366FF"/>
          <w:szCs w:val="22"/>
        </w:rPr>
      </w:pPr>
    </w:p>
    <w:p>
      <w:pPr>
        <w:pStyle w:val="Ttulo1"/>
        <w:rPr>
          <w:rFonts w:cs="Arial"/>
          <w:color w:val="3366FF"/>
          <w:szCs w:val="22"/>
        </w:rPr>
      </w:pPr>
      <w:bookmarkStart w:id="46" w:name="_Toc41376106"/>
      <w:r>
        <w:t>9. DESPESAS ANTECIPADAS</w:t>
      </w:r>
      <w:bookmarkEnd w:id="46"/>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vAlign w:val="center"/>
          </w:tcPr>
          <w:p>
            <w:pPr>
              <w:pStyle w:val="Ttulo4"/>
              <w:ind w:left="0"/>
              <w:rPr>
                <w:i/>
                <w:iCs/>
              </w:rPr>
            </w:pPr>
            <w:bookmarkStart w:id="47" w:name="_9._DESPESAS_ANTECIPADAS_1"/>
            <w:bookmarkStart w:id="48" w:name="_9._DESPESAS_ANTECIPADAS"/>
            <w:bookmarkEnd w:id="47"/>
            <w:bookmarkEnd w:id="48"/>
          </w:p>
        </w:tc>
        <w:tc>
          <w:tcPr>
            <w:tcW w:w="1843" w:type="dxa"/>
          </w:tcPr>
          <w:p>
            <w:pPr>
              <w:pBdr>
                <w:bottom w:val="single" w:sz="4" w:space="1" w:color="000000"/>
              </w:pBdr>
              <w:autoSpaceDE w:val="0"/>
              <w:snapToGrid w:val="0"/>
              <w:jc w:val="right"/>
              <w:rPr>
                <w:rFonts w:cs="Arial"/>
                <w:b/>
                <w:bCs/>
                <w:szCs w:val="22"/>
              </w:rPr>
            </w:pPr>
            <w:r>
              <w:rPr>
                <w:rFonts w:cs="Arial"/>
                <w:b/>
                <w:bCs/>
                <w:szCs w:val="22"/>
              </w:rPr>
              <w:t>31.03.2020</w:t>
            </w:r>
          </w:p>
        </w:tc>
        <w:tc>
          <w:tcPr>
            <w:tcW w:w="1842" w:type="dxa"/>
            <w:gridSpan w:val="2"/>
          </w:tcPr>
          <w:p>
            <w:pPr>
              <w:pBdr>
                <w:bottom w:val="single" w:sz="4" w:space="1" w:color="000000"/>
              </w:pBdr>
              <w:autoSpaceDE w:val="0"/>
              <w:snapToGrid w:val="0"/>
              <w:ind w:left="88" w:right="-54"/>
              <w:jc w:val="right"/>
              <w:rPr>
                <w:rFonts w:cs="Arial"/>
                <w:b/>
                <w:bCs/>
                <w:szCs w:val="22"/>
              </w:rPr>
            </w:pPr>
            <w:r>
              <w:rPr>
                <w:rFonts w:cs="Arial"/>
                <w:b/>
                <w:bCs/>
                <w:szCs w:val="22"/>
              </w:rPr>
              <w:t>31.12.2019</w:t>
            </w:r>
          </w:p>
        </w:tc>
      </w:tr>
      <w:tr>
        <w:trPr>
          <w:trHeight w:val="281"/>
        </w:trPr>
        <w:tc>
          <w:tcPr>
            <w:tcW w:w="6008" w:type="dxa"/>
          </w:tcPr>
          <w:p>
            <w:pPr>
              <w:autoSpaceDE w:val="0"/>
              <w:snapToGrid w:val="0"/>
              <w:rPr>
                <w:rFonts w:cs="Arial"/>
                <w:szCs w:val="22"/>
              </w:rPr>
            </w:pPr>
            <w:r>
              <w:rPr>
                <w:rFonts w:cs="Arial"/>
                <w:szCs w:val="22"/>
              </w:rPr>
              <w:t>Gastos Gerais Antecipados</w:t>
            </w:r>
          </w:p>
        </w:tc>
        <w:tc>
          <w:tcPr>
            <w:tcW w:w="1843" w:type="dxa"/>
          </w:tcPr>
          <w:p>
            <w:pPr>
              <w:tabs>
                <w:tab w:val="left" w:pos="1383"/>
                <w:tab w:val="left" w:pos="1930"/>
              </w:tabs>
              <w:autoSpaceDE w:val="0"/>
              <w:snapToGrid w:val="0"/>
              <w:jc w:val="right"/>
              <w:rPr>
                <w:rFonts w:cs="Arial"/>
                <w:szCs w:val="22"/>
              </w:rPr>
            </w:pPr>
            <w:r>
              <w:rPr>
                <w:rFonts w:cs="Arial"/>
                <w:szCs w:val="22"/>
              </w:rPr>
              <w:t>18.458</w:t>
            </w:r>
          </w:p>
        </w:tc>
        <w:tc>
          <w:tcPr>
            <w:tcW w:w="1842" w:type="dxa"/>
            <w:gridSpan w:val="2"/>
          </w:tcPr>
          <w:p>
            <w:pPr>
              <w:tabs>
                <w:tab w:val="left" w:pos="1383"/>
                <w:tab w:val="left" w:pos="1930"/>
              </w:tabs>
              <w:autoSpaceDE w:val="0"/>
              <w:snapToGrid w:val="0"/>
              <w:jc w:val="right"/>
              <w:rPr>
                <w:rFonts w:cs="Arial"/>
                <w:szCs w:val="22"/>
              </w:rPr>
            </w:pPr>
            <w:r>
              <w:rPr>
                <w:rFonts w:cs="Arial"/>
                <w:szCs w:val="22"/>
              </w:rPr>
              <w:t>-</w:t>
            </w:r>
          </w:p>
        </w:tc>
      </w:tr>
      <w:tr>
        <w:trPr>
          <w:trHeight w:val="281"/>
        </w:trPr>
        <w:tc>
          <w:tcPr>
            <w:tcW w:w="6008" w:type="dxa"/>
          </w:tcPr>
          <w:p>
            <w:pPr>
              <w:autoSpaceDE w:val="0"/>
              <w:snapToGrid w:val="0"/>
              <w:rPr>
                <w:rFonts w:cs="Arial"/>
                <w:szCs w:val="22"/>
              </w:rPr>
            </w:pPr>
            <w:r>
              <w:rPr>
                <w:rFonts w:cs="Arial"/>
                <w:szCs w:val="22"/>
              </w:rPr>
              <w:t>Prêmios de Seguros a Vencer</w:t>
            </w:r>
          </w:p>
        </w:tc>
        <w:tc>
          <w:tcPr>
            <w:tcW w:w="1843" w:type="dxa"/>
          </w:tcPr>
          <w:p>
            <w:pPr>
              <w:tabs>
                <w:tab w:val="left" w:pos="1383"/>
                <w:tab w:val="left" w:pos="1930"/>
              </w:tabs>
              <w:autoSpaceDE w:val="0"/>
              <w:snapToGrid w:val="0"/>
              <w:jc w:val="right"/>
              <w:rPr>
                <w:rFonts w:cs="Arial"/>
                <w:szCs w:val="22"/>
              </w:rPr>
            </w:pPr>
            <w:r>
              <w:rPr>
                <w:rFonts w:cs="Arial"/>
                <w:szCs w:val="22"/>
              </w:rPr>
              <w:t>1.166</w:t>
            </w:r>
          </w:p>
        </w:tc>
        <w:tc>
          <w:tcPr>
            <w:tcW w:w="1842" w:type="dxa"/>
            <w:gridSpan w:val="2"/>
          </w:tcPr>
          <w:p>
            <w:pPr>
              <w:tabs>
                <w:tab w:val="left" w:pos="1383"/>
                <w:tab w:val="left" w:pos="1930"/>
              </w:tabs>
              <w:autoSpaceDE w:val="0"/>
              <w:snapToGrid w:val="0"/>
              <w:jc w:val="right"/>
              <w:rPr>
                <w:rFonts w:cs="Arial"/>
                <w:szCs w:val="22"/>
              </w:rPr>
            </w:pPr>
            <w:r>
              <w:rPr>
                <w:rFonts w:cs="Arial"/>
                <w:szCs w:val="22"/>
              </w:rPr>
              <w:t>1.750</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19.624</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1.750</w:t>
            </w:r>
          </w:p>
        </w:tc>
      </w:tr>
    </w:tbl>
    <w:p>
      <w:pPr>
        <w:ind w:firstLine="435"/>
        <w:rPr>
          <w:rFonts w:cs="Arial"/>
          <w:szCs w:val="22"/>
        </w:rPr>
      </w:pPr>
    </w:p>
    <w:p>
      <w:pPr>
        <w:pStyle w:val="Ttulo2"/>
        <w:rPr>
          <w:rStyle w:val="Ttulo2Char"/>
          <w:b/>
        </w:rPr>
      </w:pPr>
      <w:bookmarkStart w:id="49" w:name="_Toc41376107"/>
      <w:r>
        <w:rPr>
          <w:rStyle w:val="Ttulo2Char"/>
          <w:b/>
        </w:rPr>
        <w:t>9.1. Gastos Gerais Antecipados</w:t>
      </w:r>
      <w:bookmarkEnd w:id="49"/>
    </w:p>
    <w:p>
      <w:pPr>
        <w:ind w:firstLine="435"/>
        <w:rPr>
          <w:rStyle w:val="Estilo2Char"/>
          <w:b w:val="0"/>
        </w:rPr>
      </w:pPr>
      <w:r>
        <w:rPr>
          <w:rStyle w:val="Estilo2Char"/>
          <w:b w:val="0"/>
        </w:rPr>
        <w:t>Nesta nomenclatura são apropriadas as parcelas a vencer do IPTU.</w:t>
      </w:r>
    </w:p>
    <w:p/>
    <w:p>
      <w:pPr>
        <w:pStyle w:val="Ttulo2"/>
        <w:rPr>
          <w:rStyle w:val="Ttulo2Char"/>
          <w:b/>
        </w:rPr>
      </w:pPr>
      <w:bookmarkStart w:id="50" w:name="_Toc41376108"/>
      <w:r>
        <w:rPr>
          <w:rStyle w:val="Ttulo2Char"/>
          <w:b/>
        </w:rPr>
        <w:t>9.2. Prêmios de Seguros a Vencer</w:t>
      </w:r>
      <w:bookmarkEnd w:id="50"/>
    </w:p>
    <w:p>
      <w:pPr>
        <w:ind w:firstLine="435"/>
        <w:rPr>
          <w:rStyle w:val="Estilo2Char"/>
          <w:b w:val="0"/>
        </w:rPr>
      </w:pPr>
      <w:r>
        <w:rPr>
          <w:rStyle w:val="Estilo2Char"/>
          <w:b w:val="0"/>
        </w:rPr>
        <w:t xml:space="preserve">São registrados seguros relativos a bens móveis, imóveis, equipamentos, instalações, mercadorias de terceiros e de responsabilidade civil, conforme nota explicativa nº </w:t>
      </w:r>
      <w:hyperlink w:anchor="_28._SEGURO" w:history="1">
        <w:r>
          <w:rPr>
            <w:rStyle w:val="Estilo2Char"/>
            <w:b w:val="0"/>
          </w:rPr>
          <w:t>28</w:t>
        </w:r>
      </w:hyperlink>
      <w:r>
        <w:rPr>
          <w:rStyle w:val="Estilo2Char"/>
          <w:b w:val="0"/>
        </w:rPr>
        <w:t>.</w:t>
      </w:r>
    </w:p>
    <w:p>
      <w:pPr>
        <w:rPr>
          <w:rFonts w:cs="Arial"/>
        </w:rPr>
      </w:pPr>
    </w:p>
    <w:p>
      <w:pPr>
        <w:rPr>
          <w:rFonts w:cs="Arial"/>
        </w:rPr>
      </w:pPr>
    </w:p>
    <w:p>
      <w:pPr>
        <w:pStyle w:val="Ttulo1"/>
        <w:rPr>
          <w:rFonts w:cs="Arial"/>
        </w:rPr>
      </w:pPr>
      <w:bookmarkStart w:id="51" w:name="_10._DEPÓSITOS_JUDICIAIS_1"/>
      <w:bookmarkStart w:id="52" w:name="_Toc41376109"/>
      <w:bookmarkEnd w:id="51"/>
      <w:r>
        <w:t>10.</w:t>
      </w:r>
      <w:r>
        <w:tab/>
        <w:t>DEPÓSITOS JUDICIAIS - LONGO PRAZO</w:t>
      </w:r>
      <w:bookmarkEnd w:id="52"/>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vAlign w:val="bottom"/>
          </w:tcPr>
          <w:p>
            <w:bookmarkStart w:id="53" w:name="_10._DEPÓSITOS_JUDICIAIS"/>
            <w:bookmarkEnd w:id="53"/>
          </w:p>
        </w:tc>
        <w:tc>
          <w:tcPr>
            <w:tcW w:w="1744" w:type="dxa"/>
          </w:tcPr>
          <w:p>
            <w:pPr>
              <w:pBdr>
                <w:bottom w:val="single" w:sz="4" w:space="1" w:color="000000"/>
              </w:pBdr>
              <w:autoSpaceDE w:val="0"/>
              <w:snapToGrid w:val="0"/>
              <w:jc w:val="right"/>
              <w:rPr>
                <w:rFonts w:cs="Arial"/>
                <w:b/>
                <w:bCs/>
                <w:szCs w:val="22"/>
              </w:rPr>
            </w:pPr>
            <w:r>
              <w:rPr>
                <w:rFonts w:cs="Arial"/>
                <w:b/>
                <w:bCs/>
                <w:szCs w:val="22"/>
              </w:rPr>
              <w:t>31.03.2020</w:t>
            </w:r>
          </w:p>
        </w:tc>
        <w:tc>
          <w:tcPr>
            <w:tcW w:w="1842" w:type="dxa"/>
            <w:gridSpan w:val="2"/>
          </w:tcPr>
          <w:p>
            <w:pPr>
              <w:pBdr>
                <w:bottom w:val="single" w:sz="4" w:space="1" w:color="000000"/>
              </w:pBdr>
              <w:autoSpaceDE w:val="0"/>
              <w:snapToGrid w:val="0"/>
              <w:ind w:left="88" w:right="-54"/>
              <w:jc w:val="right"/>
              <w:rPr>
                <w:rFonts w:cs="Arial"/>
                <w:b/>
                <w:bCs/>
                <w:szCs w:val="22"/>
              </w:rPr>
            </w:pPr>
            <w:r>
              <w:rPr>
                <w:rFonts w:cs="Arial"/>
                <w:b/>
                <w:bCs/>
                <w:szCs w:val="22"/>
              </w:rPr>
              <w:t>31.12.2019</w:t>
            </w:r>
          </w:p>
        </w:tc>
      </w:tr>
      <w:tr>
        <w:trPr>
          <w:trHeight w:val="284"/>
        </w:trPr>
        <w:tc>
          <w:tcPr>
            <w:tcW w:w="6107" w:type="dxa"/>
            <w:gridSpan w:val="2"/>
            <w:vAlign w:val="bottom"/>
          </w:tcPr>
          <w:p>
            <w:pPr>
              <w:pStyle w:val="Lista"/>
              <w:autoSpaceDE w:val="0"/>
              <w:snapToGrid w:val="0"/>
              <w:spacing w:after="0"/>
              <w:rPr>
                <w:rFonts w:cs="Arial"/>
                <w:szCs w:val="22"/>
              </w:rPr>
            </w:pPr>
            <w:r>
              <w:rPr>
                <w:rFonts w:cs="Arial"/>
                <w:szCs w:val="22"/>
              </w:rPr>
              <w:t>Causas Trabalhistas - Governo do Estado de São Paulo</w:t>
            </w:r>
          </w:p>
        </w:tc>
        <w:tc>
          <w:tcPr>
            <w:tcW w:w="1744" w:type="dxa"/>
            <w:vAlign w:val="bottom"/>
          </w:tcPr>
          <w:p>
            <w:pPr>
              <w:autoSpaceDE w:val="0"/>
              <w:snapToGrid w:val="0"/>
              <w:ind w:left="-153"/>
              <w:jc w:val="right"/>
              <w:rPr>
                <w:rFonts w:cs="Arial"/>
                <w:szCs w:val="22"/>
              </w:rPr>
            </w:pPr>
            <w:r>
              <w:rPr>
                <w:rFonts w:cs="Arial"/>
                <w:szCs w:val="22"/>
              </w:rPr>
              <w:t>29.278</w:t>
            </w:r>
          </w:p>
        </w:tc>
        <w:tc>
          <w:tcPr>
            <w:tcW w:w="1842" w:type="dxa"/>
            <w:gridSpan w:val="2"/>
            <w:vAlign w:val="bottom"/>
          </w:tcPr>
          <w:p>
            <w:pPr>
              <w:autoSpaceDE w:val="0"/>
              <w:snapToGrid w:val="0"/>
              <w:ind w:left="-153"/>
              <w:jc w:val="right"/>
              <w:rPr>
                <w:rFonts w:cs="Arial"/>
                <w:szCs w:val="22"/>
              </w:rPr>
            </w:pPr>
            <w:r>
              <w:rPr>
                <w:rFonts w:cs="Arial"/>
                <w:szCs w:val="22"/>
              </w:rPr>
              <w:t>29.043</w:t>
            </w:r>
          </w:p>
        </w:tc>
      </w:tr>
      <w:tr>
        <w:trPr>
          <w:trHeight w:val="284"/>
        </w:trPr>
        <w:tc>
          <w:tcPr>
            <w:tcW w:w="6107" w:type="dxa"/>
            <w:gridSpan w:val="2"/>
            <w:vAlign w:val="bottom"/>
          </w:tcPr>
          <w:p>
            <w:pPr>
              <w:pStyle w:val="Lista"/>
              <w:autoSpaceDE w:val="0"/>
              <w:snapToGrid w:val="0"/>
              <w:spacing w:after="0"/>
              <w:rPr>
                <w:rFonts w:cs="Arial"/>
                <w:szCs w:val="22"/>
              </w:rPr>
            </w:pPr>
            <w:r>
              <w:rPr>
                <w:rFonts w:cs="Arial"/>
                <w:szCs w:val="22"/>
              </w:rPr>
              <w:t>Causas Trabalhistas - Terceiros</w:t>
            </w:r>
          </w:p>
        </w:tc>
        <w:tc>
          <w:tcPr>
            <w:tcW w:w="1744" w:type="dxa"/>
            <w:vAlign w:val="bottom"/>
          </w:tcPr>
          <w:p>
            <w:pPr>
              <w:autoSpaceDE w:val="0"/>
              <w:snapToGrid w:val="0"/>
              <w:ind w:left="-153"/>
              <w:jc w:val="right"/>
              <w:rPr>
                <w:rFonts w:cs="Arial"/>
                <w:szCs w:val="22"/>
              </w:rPr>
            </w:pPr>
            <w:r>
              <w:rPr>
                <w:rFonts w:cs="Arial"/>
                <w:szCs w:val="22"/>
              </w:rPr>
              <w:t>2.163</w:t>
            </w:r>
          </w:p>
        </w:tc>
        <w:tc>
          <w:tcPr>
            <w:tcW w:w="1842" w:type="dxa"/>
            <w:gridSpan w:val="2"/>
            <w:vAlign w:val="bottom"/>
          </w:tcPr>
          <w:p>
            <w:pPr>
              <w:autoSpaceDE w:val="0"/>
              <w:snapToGrid w:val="0"/>
              <w:ind w:left="-153"/>
              <w:jc w:val="right"/>
              <w:rPr>
                <w:rFonts w:cs="Arial"/>
                <w:szCs w:val="22"/>
              </w:rPr>
            </w:pPr>
            <w:r>
              <w:rPr>
                <w:rFonts w:cs="Arial"/>
                <w:szCs w:val="22"/>
              </w:rPr>
              <w:t>2.077</w:t>
            </w:r>
          </w:p>
        </w:tc>
      </w:tr>
      <w:tr>
        <w:trPr>
          <w:trHeight w:val="284"/>
        </w:trPr>
        <w:tc>
          <w:tcPr>
            <w:tcW w:w="6107" w:type="dxa"/>
            <w:gridSpan w:val="2"/>
            <w:vAlign w:val="bottom"/>
          </w:tcPr>
          <w:p>
            <w:pPr>
              <w:pStyle w:val="Lista"/>
              <w:autoSpaceDE w:val="0"/>
              <w:snapToGrid w:val="0"/>
              <w:spacing w:after="0"/>
              <w:rPr>
                <w:rFonts w:cs="Arial"/>
                <w:szCs w:val="22"/>
              </w:rPr>
            </w:pPr>
            <w:r>
              <w:rPr>
                <w:rFonts w:cs="Arial"/>
                <w:szCs w:val="22"/>
              </w:rPr>
              <w:t>Causas Trabalhistas - Ceagesp</w:t>
            </w:r>
          </w:p>
        </w:tc>
        <w:tc>
          <w:tcPr>
            <w:tcW w:w="1744" w:type="dxa"/>
            <w:vAlign w:val="bottom"/>
          </w:tcPr>
          <w:p>
            <w:pPr>
              <w:autoSpaceDE w:val="0"/>
              <w:snapToGrid w:val="0"/>
              <w:ind w:left="-153"/>
              <w:jc w:val="right"/>
              <w:rPr>
                <w:rFonts w:cs="Arial"/>
                <w:szCs w:val="22"/>
              </w:rPr>
            </w:pPr>
            <w:r>
              <w:rPr>
                <w:rFonts w:cs="Arial"/>
                <w:szCs w:val="22"/>
              </w:rPr>
              <w:t>1.030</w:t>
            </w:r>
          </w:p>
        </w:tc>
        <w:tc>
          <w:tcPr>
            <w:tcW w:w="1842" w:type="dxa"/>
            <w:gridSpan w:val="2"/>
            <w:vAlign w:val="bottom"/>
          </w:tcPr>
          <w:p>
            <w:pPr>
              <w:autoSpaceDE w:val="0"/>
              <w:snapToGrid w:val="0"/>
              <w:ind w:left="-153"/>
              <w:jc w:val="right"/>
              <w:rPr>
                <w:rFonts w:cs="Arial"/>
                <w:szCs w:val="22"/>
              </w:rPr>
            </w:pPr>
            <w:r>
              <w:rPr>
                <w:rFonts w:cs="Arial"/>
                <w:szCs w:val="22"/>
              </w:rPr>
              <w:t>1.035</w:t>
            </w:r>
          </w:p>
        </w:tc>
      </w:tr>
      <w:tr>
        <w:trPr>
          <w:trHeight w:val="284"/>
        </w:trPr>
        <w:tc>
          <w:tcPr>
            <w:tcW w:w="6107" w:type="dxa"/>
            <w:gridSpan w:val="2"/>
            <w:vAlign w:val="bottom"/>
          </w:tcPr>
          <w:p>
            <w:pPr>
              <w:pStyle w:val="Lista"/>
              <w:autoSpaceDE w:val="0"/>
              <w:snapToGrid w:val="0"/>
              <w:spacing w:after="0"/>
              <w:rPr>
                <w:rFonts w:cs="Arial"/>
                <w:szCs w:val="22"/>
              </w:rPr>
            </w:pPr>
            <w:r>
              <w:rPr>
                <w:rFonts w:cs="Arial"/>
                <w:szCs w:val="22"/>
              </w:rPr>
              <w:t>Causas Diversas - Cíveis</w:t>
            </w:r>
          </w:p>
        </w:tc>
        <w:tc>
          <w:tcPr>
            <w:tcW w:w="1744" w:type="dxa"/>
            <w:vAlign w:val="bottom"/>
          </w:tcPr>
          <w:p>
            <w:pPr>
              <w:autoSpaceDE w:val="0"/>
              <w:snapToGrid w:val="0"/>
              <w:ind w:left="-153"/>
              <w:jc w:val="right"/>
              <w:rPr>
                <w:rFonts w:cs="Arial"/>
                <w:szCs w:val="22"/>
              </w:rPr>
            </w:pPr>
            <w:r>
              <w:rPr>
                <w:rFonts w:cs="Arial"/>
                <w:szCs w:val="22"/>
              </w:rPr>
              <w:t>450</w:t>
            </w:r>
          </w:p>
        </w:tc>
        <w:tc>
          <w:tcPr>
            <w:tcW w:w="1842" w:type="dxa"/>
            <w:gridSpan w:val="2"/>
            <w:vAlign w:val="bottom"/>
          </w:tcPr>
          <w:p>
            <w:pPr>
              <w:autoSpaceDE w:val="0"/>
              <w:snapToGrid w:val="0"/>
              <w:ind w:left="-153"/>
              <w:jc w:val="right"/>
              <w:rPr>
                <w:rFonts w:cs="Arial"/>
                <w:szCs w:val="22"/>
              </w:rPr>
            </w:pPr>
            <w:r>
              <w:rPr>
                <w:rFonts w:cs="Arial"/>
                <w:szCs w:val="22"/>
              </w:rPr>
              <w:t>450</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ind w:right="24"/>
              <w:jc w:val="right"/>
              <w:rPr>
                <w:rFonts w:cs="Arial"/>
                <w:b/>
                <w:szCs w:val="22"/>
              </w:rPr>
            </w:pPr>
            <w:r>
              <w:rPr>
                <w:rFonts w:cs="Arial"/>
                <w:b/>
                <w:szCs w:val="22"/>
              </w:rPr>
              <w:t>32.921</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ind w:right="24"/>
              <w:jc w:val="right"/>
              <w:rPr>
                <w:rFonts w:cs="Arial"/>
                <w:b/>
                <w:szCs w:val="22"/>
              </w:rPr>
            </w:pPr>
            <w:r>
              <w:rPr>
                <w:rFonts w:cs="Arial"/>
                <w:b/>
                <w:szCs w:val="22"/>
              </w:rPr>
              <w:t>32.605</w:t>
            </w:r>
          </w:p>
        </w:tc>
      </w:tr>
    </w:tbl>
    <w:p>
      <w:pPr>
        <w:rPr>
          <w:rFonts w:cs="Arial"/>
          <w:bCs/>
          <w:szCs w:val="22"/>
        </w:rPr>
      </w:pPr>
    </w:p>
    <w:p>
      <w:pPr>
        <w:pStyle w:val="Ttulo2"/>
        <w:rPr>
          <w:rStyle w:val="Ttulo2Char"/>
          <w:b/>
        </w:rPr>
      </w:pPr>
      <w:bookmarkStart w:id="54" w:name="_10.1._Causas_Trabalhistas"/>
      <w:bookmarkStart w:id="55" w:name="_Toc41376110"/>
      <w:bookmarkEnd w:id="54"/>
      <w:r>
        <w:rPr>
          <w:rStyle w:val="Ttulo2Char"/>
          <w:b/>
        </w:rPr>
        <w:t>10.1. Causas Trabalhistas – Governo do Estado de São Paulo</w:t>
      </w:r>
      <w:bookmarkEnd w:id="55"/>
    </w:p>
    <w:p>
      <w:pPr>
        <w:ind w:firstLine="435"/>
      </w:pPr>
      <w:r>
        <w:rPr>
          <w:rStyle w:val="Estilo2Char"/>
          <w:b w:val="0"/>
        </w:rPr>
        <w:t>Compreendem os valores</w:t>
      </w:r>
      <w:r>
        <w:t xml:space="preserve"> desembolsados referentes às ações de licença prêmio, pensão, corrida de faixa e complementação de aposentadoria de ex-funcionários. O Governo do Estado de São Paulo é responsável pelo reembolso destes valores, de acordo com o Terceiro Termo Aditivo ao Contrato de Promessa de Venda e Compra de Ações do Capital Social da Ceagesp, estabelecido pelo artigo 8º da Lei Estadual nº 8.794, de 19 de abril de 1994 (“Complementações”).</w:t>
      </w:r>
    </w:p>
    <w:p>
      <w:pPr>
        <w:rPr>
          <w:rFonts w:cs="Arial"/>
          <w:bCs/>
          <w:szCs w:val="22"/>
        </w:rPr>
      </w:pPr>
    </w:p>
    <w:p>
      <w:pPr>
        <w:pStyle w:val="Ttulo2"/>
        <w:rPr>
          <w:rStyle w:val="Ttulo2Char"/>
          <w:b/>
        </w:rPr>
      </w:pPr>
      <w:bookmarkStart w:id="56" w:name="_Toc41376111"/>
      <w:r>
        <w:rPr>
          <w:rStyle w:val="Ttulo2Char"/>
          <w:b/>
        </w:rPr>
        <w:t>10.2. Causas Trabalhistas – Terceiros</w:t>
      </w:r>
      <w:bookmarkEnd w:id="56"/>
    </w:p>
    <w:p>
      <w:pPr>
        <w:ind w:firstLine="435"/>
        <w:rPr>
          <w:rFonts w:cs="Arial"/>
          <w:szCs w:val="22"/>
        </w:rPr>
      </w:pPr>
      <w:r>
        <w:rPr>
          <w:rFonts w:cs="Arial"/>
          <w:szCs w:val="22"/>
        </w:rPr>
        <w:t>Nesta rubrica são contabilizados os pagamentos de ações nas quais a Ceagesp possui responsabilidade subsidiária. São processos de funcionários de empresas prestadoras de serviços terceirizados; permanecem registrados nesta conta até o trânsito em julgado dos processos.</w:t>
      </w:r>
    </w:p>
    <w:p>
      <w:pPr>
        <w:ind w:firstLine="435"/>
        <w:rPr>
          <w:rFonts w:cs="Arial"/>
          <w:szCs w:val="22"/>
        </w:rPr>
      </w:pPr>
    </w:p>
    <w:p>
      <w:pPr>
        <w:pStyle w:val="Ttulo2"/>
        <w:rPr>
          <w:rStyle w:val="Ttulo2Char"/>
          <w:b/>
        </w:rPr>
      </w:pPr>
      <w:bookmarkStart w:id="57" w:name="_Toc41376112"/>
      <w:r>
        <w:rPr>
          <w:rStyle w:val="Ttulo2Char"/>
          <w:b/>
        </w:rPr>
        <w:t>10.3. Causas Trabalhistas – Ceagesp</w:t>
      </w:r>
      <w:bookmarkEnd w:id="57"/>
    </w:p>
    <w:p>
      <w:pPr>
        <w:ind w:firstLine="435"/>
        <w:rPr>
          <w:rFonts w:cs="Arial"/>
          <w:szCs w:val="22"/>
        </w:rPr>
      </w:pPr>
      <w:r>
        <w:rPr>
          <w:rFonts w:cs="Arial"/>
          <w:szCs w:val="22"/>
        </w:rPr>
        <w:t>São contabilizados valores desembolsados e classificados como recuperáveis, de processos trabalhistas de responsabilidade da Ceagesp. Tais valores permanecem registrados nesta conta até o trânsito em julgado dos processos.</w:t>
      </w:r>
    </w:p>
    <w:p>
      <w:pPr>
        <w:rPr>
          <w:rFonts w:cs="Arial"/>
          <w:bCs/>
          <w:szCs w:val="22"/>
        </w:rPr>
      </w:pPr>
    </w:p>
    <w:p>
      <w:pPr>
        <w:pStyle w:val="Ttulo2"/>
        <w:rPr>
          <w:rStyle w:val="Ttulo2Char"/>
          <w:b/>
        </w:rPr>
      </w:pPr>
      <w:bookmarkStart w:id="58" w:name="_Toc41376113"/>
      <w:r>
        <w:rPr>
          <w:rStyle w:val="Ttulo2Char"/>
          <w:b/>
        </w:rPr>
        <w:t>10.4. Causas Diversas – Cíveis</w:t>
      </w:r>
      <w:bookmarkEnd w:id="58"/>
    </w:p>
    <w:p>
      <w:pPr>
        <w:ind w:firstLine="435"/>
        <w:rPr>
          <w:rFonts w:cs="Arial"/>
          <w:szCs w:val="22"/>
        </w:rPr>
      </w:pPr>
      <w:r>
        <w:rPr>
          <w:rFonts w:cs="Arial"/>
          <w:szCs w:val="22"/>
        </w:rPr>
        <w:t>São registrados valores pagos e classificados como recuperáveis conforme parecer jurídico.</w:t>
      </w:r>
    </w:p>
    <w:p>
      <w:pPr>
        <w:rPr>
          <w:rFonts w:cs="Arial"/>
        </w:rPr>
      </w:pPr>
      <w:bookmarkStart w:id="59" w:name="_10.4_–_Causas"/>
      <w:bookmarkEnd w:id="59"/>
    </w:p>
    <w:p>
      <w:pPr>
        <w:pStyle w:val="Ttulo1"/>
        <w:rPr>
          <w:rFonts w:cs="Arial"/>
        </w:rPr>
      </w:pPr>
      <w:bookmarkStart w:id="60" w:name="_11._CAUSAS_JUDICIAIS_1"/>
      <w:bookmarkStart w:id="61" w:name="_Toc41376114"/>
      <w:bookmarkEnd w:id="60"/>
      <w:r>
        <w:t>11.</w:t>
      </w:r>
      <w:r>
        <w:tab/>
        <w:t>CAUSAS JUDICIAIS TRABALHISTAS – LONGO PRAZO</w:t>
      </w:r>
      <w:bookmarkEnd w:id="61"/>
    </w:p>
    <w:tbl>
      <w:tblPr>
        <w:tblW w:w="9639" w:type="dxa"/>
        <w:tblLayout w:type="fixed"/>
        <w:tblCellMar>
          <w:left w:w="54" w:type="dxa"/>
          <w:right w:w="54" w:type="dxa"/>
        </w:tblCellMar>
        <w:tblLook w:val="0000" w:firstRow="0" w:lastRow="0" w:firstColumn="0" w:lastColumn="0" w:noHBand="0" w:noVBand="0"/>
      </w:tblPr>
      <w:tblGrid>
        <w:gridCol w:w="6008"/>
        <w:gridCol w:w="99"/>
        <w:gridCol w:w="1690"/>
        <w:gridCol w:w="1818"/>
        <w:gridCol w:w="24"/>
      </w:tblGrid>
      <w:tr>
        <w:trPr>
          <w:trHeight w:val="101"/>
        </w:trPr>
        <w:tc>
          <w:tcPr>
            <w:tcW w:w="6107" w:type="dxa"/>
            <w:gridSpan w:val="2"/>
            <w:vAlign w:val="bottom"/>
          </w:tcPr>
          <w:p>
            <w:pPr>
              <w:pStyle w:val="Ttulo1"/>
              <w:rPr>
                <w:szCs w:val="22"/>
              </w:rPr>
            </w:pPr>
            <w:bookmarkStart w:id="62" w:name="_11._CAUSAS_JUDICIAIS"/>
            <w:bookmarkEnd w:id="62"/>
          </w:p>
        </w:tc>
        <w:tc>
          <w:tcPr>
            <w:tcW w:w="1690"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31.03.2020</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31.12.2019</w:t>
            </w:r>
          </w:p>
        </w:tc>
      </w:tr>
      <w:tr>
        <w:trPr>
          <w:trHeight w:val="284"/>
        </w:trPr>
        <w:tc>
          <w:tcPr>
            <w:tcW w:w="6107" w:type="dxa"/>
            <w:gridSpan w:val="2"/>
            <w:vAlign w:val="bottom"/>
          </w:tcPr>
          <w:p>
            <w:pPr>
              <w:pStyle w:val="Lista"/>
              <w:autoSpaceDE w:val="0"/>
              <w:snapToGrid w:val="0"/>
              <w:spacing w:after="0"/>
              <w:rPr>
                <w:rFonts w:cs="Arial"/>
                <w:szCs w:val="22"/>
              </w:rPr>
            </w:pPr>
            <w:proofErr w:type="spellStart"/>
            <w:r>
              <w:rPr>
                <w:rFonts w:cs="Arial"/>
              </w:rPr>
              <w:t>Ctas</w:t>
            </w:r>
            <w:proofErr w:type="spellEnd"/>
            <w:r>
              <w:rPr>
                <w:rFonts w:cs="Arial"/>
              </w:rPr>
              <w:t xml:space="preserve"> Rec. Governo Est. São Paulo - Processos Encerrados</w:t>
            </w:r>
          </w:p>
        </w:tc>
        <w:tc>
          <w:tcPr>
            <w:tcW w:w="1690" w:type="dxa"/>
            <w:vAlign w:val="bottom"/>
          </w:tcPr>
          <w:p>
            <w:pPr>
              <w:autoSpaceDE w:val="0"/>
              <w:snapToGrid w:val="0"/>
              <w:ind w:left="-153"/>
              <w:jc w:val="right"/>
              <w:rPr>
                <w:rFonts w:cs="Arial"/>
                <w:szCs w:val="22"/>
              </w:rPr>
            </w:pPr>
            <w:r>
              <w:rPr>
                <w:rFonts w:cs="Arial"/>
                <w:szCs w:val="22"/>
              </w:rPr>
              <w:t>4.938</w:t>
            </w:r>
          </w:p>
        </w:tc>
        <w:tc>
          <w:tcPr>
            <w:tcW w:w="1842" w:type="dxa"/>
            <w:gridSpan w:val="2"/>
            <w:vAlign w:val="bottom"/>
          </w:tcPr>
          <w:p>
            <w:pPr>
              <w:autoSpaceDE w:val="0"/>
              <w:snapToGrid w:val="0"/>
              <w:ind w:left="-153"/>
              <w:jc w:val="right"/>
              <w:rPr>
                <w:rFonts w:cs="Arial"/>
                <w:szCs w:val="22"/>
              </w:rPr>
            </w:pPr>
            <w:r>
              <w:rPr>
                <w:rFonts w:cs="Arial"/>
                <w:szCs w:val="22"/>
              </w:rPr>
              <w:t>4.938</w:t>
            </w:r>
          </w:p>
        </w:tc>
      </w:tr>
      <w:tr>
        <w:trPr>
          <w:trHeight w:val="284"/>
        </w:trPr>
        <w:tc>
          <w:tcPr>
            <w:tcW w:w="6107" w:type="dxa"/>
            <w:gridSpan w:val="2"/>
          </w:tcPr>
          <w:p>
            <w:pPr>
              <w:rPr>
                <w:rFonts w:cs="Arial"/>
              </w:rPr>
            </w:pPr>
            <w:proofErr w:type="spellStart"/>
            <w:r>
              <w:rPr>
                <w:rFonts w:cs="Arial"/>
              </w:rPr>
              <w:t>Ctas</w:t>
            </w:r>
            <w:proofErr w:type="spellEnd"/>
            <w:r>
              <w:rPr>
                <w:rFonts w:cs="Arial"/>
              </w:rPr>
              <w:t xml:space="preserve"> Rec. Governo Est. S. Paulo - Processos em Andamento</w:t>
            </w:r>
          </w:p>
        </w:tc>
        <w:tc>
          <w:tcPr>
            <w:tcW w:w="1690" w:type="dxa"/>
          </w:tcPr>
          <w:p>
            <w:pPr>
              <w:autoSpaceDE w:val="0"/>
              <w:snapToGrid w:val="0"/>
              <w:ind w:left="-54"/>
              <w:jc w:val="right"/>
              <w:rPr>
                <w:rFonts w:cs="Arial"/>
                <w:szCs w:val="22"/>
              </w:rPr>
            </w:pPr>
            <w:r>
              <w:rPr>
                <w:rFonts w:cs="Arial"/>
                <w:szCs w:val="22"/>
              </w:rPr>
              <w:t xml:space="preserve">       4.251</w:t>
            </w:r>
          </w:p>
        </w:tc>
        <w:tc>
          <w:tcPr>
            <w:tcW w:w="1842" w:type="dxa"/>
            <w:gridSpan w:val="2"/>
          </w:tcPr>
          <w:p>
            <w:pPr>
              <w:autoSpaceDE w:val="0"/>
              <w:snapToGrid w:val="0"/>
              <w:ind w:left="-54"/>
              <w:jc w:val="right"/>
              <w:rPr>
                <w:rFonts w:cs="Arial"/>
                <w:szCs w:val="22"/>
              </w:rPr>
            </w:pPr>
            <w:r>
              <w:rPr>
                <w:rFonts w:cs="Arial"/>
                <w:szCs w:val="22"/>
              </w:rPr>
              <w:t xml:space="preserve">       6.004</w:t>
            </w:r>
          </w:p>
        </w:tc>
      </w:tr>
      <w:tr>
        <w:trPr>
          <w:gridAfter w:val="1"/>
          <w:wAfter w:w="24" w:type="dxa"/>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789"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9.189</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10.942</w:t>
            </w:r>
          </w:p>
        </w:tc>
      </w:tr>
    </w:tbl>
    <w:p>
      <w:pPr>
        <w:rPr>
          <w:rFonts w:cs="Arial"/>
          <w:b/>
        </w:rPr>
      </w:pPr>
    </w:p>
    <w:p>
      <w:pPr>
        <w:pStyle w:val="Ttulo2"/>
        <w:rPr>
          <w:rStyle w:val="Ttulo2Char"/>
          <w:b/>
        </w:rPr>
      </w:pPr>
      <w:bookmarkStart w:id="63" w:name="_Toc41376115"/>
      <w:r>
        <w:rPr>
          <w:rStyle w:val="Ttulo2Char"/>
          <w:b/>
        </w:rPr>
        <w:t>11.1. Contas a Receber do Governo do Estado de São Paulo – Processos Encerrados</w:t>
      </w:r>
      <w:bookmarkEnd w:id="63"/>
    </w:p>
    <w:p>
      <w:pPr>
        <w:ind w:firstLine="435"/>
        <w:rPr>
          <w:rFonts w:cs="Arial"/>
        </w:rPr>
      </w:pPr>
      <w:r>
        <w:rPr>
          <w:rFonts w:cs="Arial"/>
        </w:rPr>
        <w:t xml:space="preserve">São registrados valores pagos ao Governo do Estado de São Paulo, conforme nota explicativa nº </w:t>
      </w:r>
      <w:hyperlink w:anchor="_10.1._Causas_Trabalhistas" w:history="1">
        <w:r>
          <w:rPr>
            <w:rStyle w:val="Hyperlink"/>
            <w:rFonts w:cs="Arial"/>
          </w:rPr>
          <w:t>10.1</w:t>
        </w:r>
      </w:hyperlink>
      <w:r>
        <w:rPr>
          <w:rFonts w:cs="Arial"/>
        </w:rPr>
        <w:t xml:space="preserve">. </w:t>
      </w:r>
    </w:p>
    <w:p>
      <w:pPr>
        <w:ind w:firstLine="435"/>
        <w:rPr>
          <w:rFonts w:cs="Arial"/>
        </w:rPr>
      </w:pPr>
    </w:p>
    <w:p>
      <w:pPr>
        <w:pStyle w:val="Ttulo2"/>
        <w:rPr>
          <w:rStyle w:val="Ttulo2Char"/>
          <w:b/>
        </w:rPr>
      </w:pPr>
      <w:bookmarkStart w:id="64" w:name="_Toc41376116"/>
      <w:r>
        <w:rPr>
          <w:rStyle w:val="Ttulo2Char"/>
          <w:b/>
        </w:rPr>
        <w:t>11.2. Contas a Receber do Governo do Estado de São Paulo – Processos em Andamento</w:t>
      </w:r>
      <w:bookmarkEnd w:id="64"/>
    </w:p>
    <w:p>
      <w:pPr>
        <w:ind w:firstLine="435"/>
        <w:rPr>
          <w:rFonts w:cs="Arial"/>
        </w:rPr>
      </w:pPr>
      <w:r>
        <w:rPr>
          <w:rFonts w:cs="Arial"/>
        </w:rPr>
        <w:t>Contemplam valores provisionados e classificados como recebimento provável de acordo com parecer jurídico. A contrapartida do lançamento é a conta do passivo não circulante denominada “</w:t>
      </w:r>
      <w:r>
        <w:rPr>
          <w:rFonts w:cs="Arial"/>
          <w:szCs w:val="22"/>
        </w:rPr>
        <w:t>Provisão para Contingências Trabalhistas - Governo do Estado de São Paulo”</w:t>
      </w:r>
      <w:r>
        <w:rPr>
          <w:rFonts w:cs="Arial"/>
        </w:rPr>
        <w:t xml:space="preserve"> demonstrada na nota explicativa nº </w:t>
      </w:r>
      <w:hyperlink w:anchor="_22._PROVISÃO_PARA_1" w:history="1">
        <w:r>
          <w:rPr>
            <w:rStyle w:val="Hyperlink"/>
            <w:rFonts w:cs="Arial"/>
          </w:rPr>
          <w:t>22</w:t>
        </w:r>
      </w:hyperlink>
      <w:r>
        <w:rPr>
          <w:rFonts w:cs="Arial"/>
        </w:rPr>
        <w:t xml:space="preserve">. </w:t>
      </w:r>
    </w:p>
    <w:p>
      <w:pPr>
        <w:ind w:firstLine="435"/>
        <w:rPr>
          <w:rFonts w:cs="Arial"/>
        </w:rPr>
      </w:pPr>
    </w:p>
    <w:p>
      <w:pPr>
        <w:ind w:firstLine="435"/>
        <w:rPr>
          <w:rFonts w:cs="Arial"/>
        </w:rPr>
      </w:pPr>
    </w:p>
    <w:p>
      <w:pPr>
        <w:pStyle w:val="Ttulo1"/>
        <w:rPr>
          <w:rFonts w:cs="Arial"/>
        </w:rPr>
      </w:pPr>
      <w:bookmarkStart w:id="65" w:name="_12._OUTROS_VALORES_1"/>
      <w:bookmarkStart w:id="66" w:name="_Toc41376117"/>
      <w:bookmarkEnd w:id="65"/>
      <w:r>
        <w:t>12.</w:t>
      </w:r>
      <w:r>
        <w:tab/>
        <w:t>OUTROS VALORES – LONGO PRAZO</w:t>
      </w:r>
      <w:bookmarkEnd w:id="66"/>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vAlign w:val="bottom"/>
          </w:tcPr>
          <w:p>
            <w:pPr>
              <w:pStyle w:val="Ttulo1"/>
              <w:rPr>
                <w:szCs w:val="22"/>
              </w:rPr>
            </w:pPr>
            <w:bookmarkStart w:id="67" w:name="_12._OUTROS_VALORES"/>
            <w:bookmarkEnd w:id="67"/>
          </w:p>
        </w:tc>
        <w:tc>
          <w:tcPr>
            <w:tcW w:w="1744"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31.03.2020</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31.12.2019</w:t>
            </w:r>
          </w:p>
        </w:tc>
      </w:tr>
      <w:tr>
        <w:trPr>
          <w:trHeight w:val="284"/>
        </w:trPr>
        <w:tc>
          <w:tcPr>
            <w:tcW w:w="6107" w:type="dxa"/>
            <w:gridSpan w:val="2"/>
          </w:tcPr>
          <w:p>
            <w:pPr>
              <w:rPr>
                <w:rFonts w:cs="Arial"/>
              </w:rPr>
            </w:pPr>
            <w:r>
              <w:rPr>
                <w:rFonts w:cs="Arial"/>
              </w:rPr>
              <w:t>Contas a Receber Clientes e Usuários</w:t>
            </w:r>
          </w:p>
        </w:tc>
        <w:tc>
          <w:tcPr>
            <w:tcW w:w="1744" w:type="dxa"/>
          </w:tcPr>
          <w:p>
            <w:pPr>
              <w:autoSpaceDE w:val="0"/>
              <w:snapToGrid w:val="0"/>
              <w:ind w:left="-54"/>
              <w:jc w:val="right"/>
              <w:rPr>
                <w:rFonts w:cs="Arial"/>
                <w:szCs w:val="22"/>
              </w:rPr>
            </w:pPr>
            <w:r>
              <w:rPr>
                <w:rFonts w:cs="Arial"/>
                <w:szCs w:val="22"/>
              </w:rPr>
              <w:t>26.992</w:t>
            </w:r>
          </w:p>
        </w:tc>
        <w:tc>
          <w:tcPr>
            <w:tcW w:w="1842" w:type="dxa"/>
            <w:gridSpan w:val="2"/>
          </w:tcPr>
          <w:p>
            <w:pPr>
              <w:autoSpaceDE w:val="0"/>
              <w:snapToGrid w:val="0"/>
              <w:ind w:left="-54"/>
              <w:jc w:val="right"/>
              <w:rPr>
                <w:rFonts w:cs="Arial"/>
                <w:szCs w:val="22"/>
              </w:rPr>
            </w:pPr>
            <w:r>
              <w:rPr>
                <w:rFonts w:cs="Arial"/>
                <w:szCs w:val="22"/>
              </w:rPr>
              <w:t>26.724</w:t>
            </w:r>
          </w:p>
        </w:tc>
      </w:tr>
      <w:tr>
        <w:trPr>
          <w:trHeight w:val="284"/>
        </w:trPr>
        <w:tc>
          <w:tcPr>
            <w:tcW w:w="6107" w:type="dxa"/>
            <w:gridSpan w:val="2"/>
          </w:tcPr>
          <w:p>
            <w:pPr>
              <w:rPr>
                <w:rFonts w:cs="Arial"/>
              </w:rPr>
            </w:pPr>
            <w:r>
              <w:rPr>
                <w:rFonts w:cs="Arial"/>
              </w:rPr>
              <w:t>Realizáveis por Venda de Imóveis</w:t>
            </w:r>
          </w:p>
        </w:tc>
        <w:tc>
          <w:tcPr>
            <w:tcW w:w="1744" w:type="dxa"/>
          </w:tcPr>
          <w:p>
            <w:pPr>
              <w:autoSpaceDE w:val="0"/>
              <w:snapToGrid w:val="0"/>
              <w:ind w:left="-54"/>
              <w:jc w:val="right"/>
              <w:rPr>
                <w:rFonts w:cs="Arial"/>
                <w:szCs w:val="22"/>
              </w:rPr>
            </w:pPr>
            <w:r>
              <w:rPr>
                <w:rFonts w:cs="Arial"/>
                <w:szCs w:val="22"/>
              </w:rPr>
              <w:t>2.051</w:t>
            </w:r>
          </w:p>
        </w:tc>
        <w:tc>
          <w:tcPr>
            <w:tcW w:w="1842" w:type="dxa"/>
            <w:gridSpan w:val="2"/>
          </w:tcPr>
          <w:p>
            <w:pPr>
              <w:autoSpaceDE w:val="0"/>
              <w:snapToGrid w:val="0"/>
              <w:ind w:left="-54"/>
              <w:jc w:val="right"/>
              <w:rPr>
                <w:rFonts w:cs="Arial"/>
                <w:szCs w:val="22"/>
              </w:rPr>
            </w:pPr>
            <w:r>
              <w:rPr>
                <w:rFonts w:cs="Arial"/>
                <w:szCs w:val="22"/>
              </w:rPr>
              <w:t>2.051</w:t>
            </w:r>
          </w:p>
        </w:tc>
      </w:tr>
      <w:tr>
        <w:trPr>
          <w:trHeight w:val="284"/>
        </w:trPr>
        <w:tc>
          <w:tcPr>
            <w:tcW w:w="6107" w:type="dxa"/>
            <w:gridSpan w:val="2"/>
          </w:tcPr>
          <w:p>
            <w:pPr>
              <w:rPr>
                <w:rFonts w:cs="Arial"/>
              </w:rPr>
            </w:pPr>
            <w:r>
              <w:rPr>
                <w:rFonts w:cs="Arial"/>
              </w:rPr>
              <w:t>(-) PECLD</w:t>
            </w:r>
          </w:p>
        </w:tc>
        <w:tc>
          <w:tcPr>
            <w:tcW w:w="1744" w:type="dxa"/>
          </w:tcPr>
          <w:p>
            <w:pPr>
              <w:autoSpaceDE w:val="0"/>
              <w:snapToGrid w:val="0"/>
              <w:ind w:left="-54"/>
              <w:jc w:val="right"/>
              <w:rPr>
                <w:rFonts w:cs="Arial"/>
                <w:szCs w:val="22"/>
              </w:rPr>
            </w:pPr>
            <w:r>
              <w:rPr>
                <w:rFonts w:cs="Arial"/>
                <w:szCs w:val="22"/>
              </w:rPr>
              <w:t>(26.992)</w:t>
            </w:r>
          </w:p>
        </w:tc>
        <w:tc>
          <w:tcPr>
            <w:tcW w:w="1842" w:type="dxa"/>
            <w:gridSpan w:val="2"/>
          </w:tcPr>
          <w:p>
            <w:pPr>
              <w:autoSpaceDE w:val="0"/>
              <w:snapToGrid w:val="0"/>
              <w:ind w:left="-54"/>
              <w:jc w:val="right"/>
              <w:rPr>
                <w:rFonts w:cs="Arial"/>
                <w:szCs w:val="22"/>
              </w:rPr>
            </w:pPr>
            <w:r>
              <w:rPr>
                <w:rFonts w:cs="Arial"/>
                <w:szCs w:val="22"/>
              </w:rPr>
              <w:t>(26.724)</w:t>
            </w:r>
          </w:p>
        </w:tc>
      </w:tr>
      <w:tr>
        <w:trPr>
          <w:trHeight w:val="316"/>
        </w:trPr>
        <w:tc>
          <w:tcPr>
            <w:tcW w:w="6008" w:type="dxa"/>
            <w:vAlign w:val="center"/>
          </w:tcPr>
          <w:p>
            <w:pPr>
              <w:jc w:val="right"/>
              <w:rPr>
                <w:rFonts w:cs="Arial"/>
                <w:b/>
                <w:bCs/>
              </w:rPr>
            </w:pPr>
          </w:p>
        </w:tc>
        <w:tc>
          <w:tcPr>
            <w:tcW w:w="1867" w:type="dxa"/>
            <w:gridSpan w:val="3"/>
            <w:shd w:val="clear" w:color="auto" w:fill="auto"/>
            <w:vAlign w:val="center"/>
          </w:tcPr>
          <w:p>
            <w:pPr>
              <w:pBdr>
                <w:top w:val="single" w:sz="4" w:space="1" w:color="000000"/>
                <w:bottom w:val="double" w:sz="1" w:space="1" w:color="000000"/>
              </w:pBdr>
              <w:jc w:val="right"/>
              <w:rPr>
                <w:rFonts w:cs="Arial"/>
                <w:b/>
                <w:bCs/>
              </w:rPr>
            </w:pPr>
            <w:r>
              <w:rPr>
                <w:rFonts w:cs="Arial"/>
                <w:b/>
                <w:bCs/>
              </w:rPr>
              <w:t>2.051</w:t>
            </w:r>
          </w:p>
        </w:tc>
        <w:tc>
          <w:tcPr>
            <w:tcW w:w="1818" w:type="dxa"/>
            <w:shd w:val="clear" w:color="auto" w:fill="auto"/>
            <w:vAlign w:val="center"/>
          </w:tcPr>
          <w:p>
            <w:pPr>
              <w:pBdr>
                <w:top w:val="single" w:sz="4" w:space="1" w:color="000000"/>
                <w:bottom w:val="double" w:sz="1" w:space="1" w:color="000000"/>
              </w:pBdr>
              <w:jc w:val="right"/>
              <w:rPr>
                <w:rFonts w:cs="Arial"/>
                <w:b/>
                <w:bCs/>
              </w:rPr>
            </w:pPr>
            <w:r>
              <w:rPr>
                <w:rFonts w:cs="Arial"/>
                <w:b/>
                <w:bCs/>
              </w:rPr>
              <w:t>2.051</w:t>
            </w:r>
          </w:p>
        </w:tc>
      </w:tr>
    </w:tbl>
    <w:p>
      <w:pPr>
        <w:pStyle w:val="Ttulo2"/>
        <w:rPr>
          <w:rStyle w:val="Ttulo2Char"/>
          <w:b/>
        </w:rPr>
      </w:pPr>
      <w:bookmarkStart w:id="68" w:name="_Toc41376118"/>
      <w:r>
        <w:rPr>
          <w:rStyle w:val="Ttulo2Char"/>
          <w:b/>
        </w:rPr>
        <w:t>12.1. Contas a Receber Clientes e Usuários</w:t>
      </w:r>
      <w:bookmarkEnd w:id="68"/>
    </w:p>
    <w:p>
      <w:pPr>
        <w:ind w:firstLine="435"/>
        <w:rPr>
          <w:rFonts w:cs="Arial"/>
          <w:szCs w:val="22"/>
        </w:rPr>
      </w:pPr>
      <w:r>
        <w:rPr>
          <w:rFonts w:cs="Arial"/>
          <w:szCs w:val="22"/>
        </w:rPr>
        <w:t>Nesta conta são registrados os valores em situação de cobrança judicial.</w:t>
      </w:r>
    </w:p>
    <w:p>
      <w:pPr>
        <w:pStyle w:val="Ttulo2"/>
        <w:rPr>
          <w:rStyle w:val="Ttulo2Char"/>
          <w:b/>
        </w:rPr>
      </w:pPr>
    </w:p>
    <w:p>
      <w:pPr>
        <w:pStyle w:val="Ttulo2"/>
        <w:rPr>
          <w:rStyle w:val="Ttulo2Char"/>
          <w:b/>
        </w:rPr>
      </w:pPr>
      <w:bookmarkStart w:id="69" w:name="_Toc41376119"/>
      <w:r>
        <w:rPr>
          <w:rStyle w:val="Ttulo2Char"/>
          <w:b/>
        </w:rPr>
        <w:t>12.2. Realizáveis por Venda de Imóveis</w:t>
      </w:r>
      <w:bookmarkEnd w:id="69"/>
    </w:p>
    <w:p>
      <w:pPr>
        <w:ind w:firstLine="435"/>
        <w:rPr>
          <w:rFonts w:cs="Arial"/>
        </w:rPr>
      </w:pPr>
      <w:r>
        <w:rPr>
          <w:rFonts w:cs="Arial"/>
        </w:rPr>
        <w:t>Estão registrados os valores a receber de Prefeituras Municipais. Eventuais inadimplências são demandadas judicial ou administrativamente e conduzidas negociações para sua liquidação</w:t>
      </w:r>
      <w:r>
        <w:rPr>
          <w:rFonts w:cs="Arial"/>
          <w:szCs w:val="22"/>
        </w:rPr>
        <w:t>. Não há constituição de PECLD</w:t>
      </w:r>
      <w:r>
        <w:rPr>
          <w:rFonts w:cs="Arial"/>
        </w:rPr>
        <w:t>,</w:t>
      </w:r>
      <w:r>
        <w:rPr>
          <w:rFonts w:cs="Arial"/>
          <w:szCs w:val="22"/>
        </w:rPr>
        <w:t xml:space="preserve"> pois o bem é garantia real para a Companhia</w:t>
      </w:r>
      <w:r>
        <w:rPr>
          <w:rFonts w:cs="Arial"/>
          <w:color w:val="3366FF"/>
          <w:szCs w:val="22"/>
        </w:rPr>
        <w:t>.</w:t>
      </w:r>
    </w:p>
    <w:p>
      <w:pPr>
        <w:rPr>
          <w:rFonts w:cs="Arial"/>
          <w:bCs/>
          <w:szCs w:val="22"/>
        </w:rPr>
      </w:pPr>
    </w:p>
    <w:p>
      <w:pPr>
        <w:pStyle w:val="Ttulo2"/>
        <w:rPr>
          <w:rStyle w:val="Ttulo2Char"/>
          <w:b/>
        </w:rPr>
      </w:pPr>
      <w:bookmarkStart w:id="70" w:name="_Toc41376120"/>
      <w:r>
        <w:rPr>
          <w:rStyle w:val="Ttulo2Char"/>
          <w:b/>
        </w:rPr>
        <w:t>12.3. PECLD</w:t>
      </w:r>
      <w:bookmarkEnd w:id="70"/>
    </w:p>
    <w:p>
      <w:pPr>
        <w:ind w:firstLine="435"/>
        <w:rPr>
          <w:rFonts w:cs="Arial"/>
          <w:szCs w:val="22"/>
        </w:rPr>
      </w:pPr>
      <w:r>
        <w:rPr>
          <w:rFonts w:cs="Arial"/>
          <w:szCs w:val="22"/>
        </w:rPr>
        <w:t xml:space="preserve">A constituição das perdas estimadas foi comentada na nota explicativa nº </w:t>
      </w:r>
      <w:hyperlink w:anchor="_5.4_–_Provisão" w:history="1">
        <w:r>
          <w:rPr>
            <w:rStyle w:val="Hyperlink"/>
            <w:rFonts w:cs="Arial"/>
            <w:szCs w:val="22"/>
          </w:rPr>
          <w:t>5.4</w:t>
        </w:r>
      </w:hyperlink>
      <w:r>
        <w:rPr>
          <w:rFonts w:cs="Arial"/>
          <w:szCs w:val="22"/>
        </w:rPr>
        <w:t>.</w:t>
      </w:r>
    </w:p>
    <w:p>
      <w:pPr>
        <w:rPr>
          <w:rFonts w:cs="Arial"/>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trPr>
          <w:gridAfter w:val="1"/>
          <w:wAfter w:w="63" w:type="dxa"/>
          <w:trHeight w:val="409"/>
        </w:trPr>
        <w:tc>
          <w:tcPr>
            <w:tcW w:w="7567" w:type="dxa"/>
          </w:tcPr>
          <w:p>
            <w:pPr>
              <w:autoSpaceDE w:val="0"/>
              <w:snapToGrid w:val="0"/>
              <w:rPr>
                <w:rFonts w:cs="Arial"/>
                <w:szCs w:val="22"/>
              </w:rPr>
            </w:pPr>
            <w:r>
              <w:rPr>
                <w:rFonts w:cs="Arial"/>
                <w:b/>
                <w:bCs/>
              </w:rPr>
              <w:t>DEMONSTRAÇÃO DA PECLD – LONGO PRAZO</w:t>
            </w:r>
          </w:p>
        </w:tc>
        <w:tc>
          <w:tcPr>
            <w:tcW w:w="2126" w:type="dxa"/>
            <w:gridSpan w:val="2"/>
            <w:vAlign w:val="center"/>
          </w:tcPr>
          <w:p>
            <w:pPr>
              <w:pBdr>
                <w:bottom w:val="single" w:sz="4" w:space="1" w:color="000000"/>
              </w:pBdr>
              <w:autoSpaceDE w:val="0"/>
              <w:snapToGrid w:val="0"/>
              <w:ind w:left="317" w:right="-54"/>
              <w:jc w:val="right"/>
              <w:rPr>
                <w:rFonts w:cs="Arial"/>
                <w:b/>
                <w:bCs/>
                <w:szCs w:val="22"/>
              </w:rPr>
            </w:pPr>
            <w:r>
              <w:rPr>
                <w:rFonts w:cs="Arial"/>
                <w:b/>
                <w:bCs/>
                <w:szCs w:val="22"/>
              </w:rPr>
              <w:t>31.03.2020</w:t>
            </w:r>
          </w:p>
        </w:tc>
      </w:tr>
      <w:tr>
        <w:trPr>
          <w:gridAfter w:val="1"/>
          <w:wAfter w:w="63" w:type="dxa"/>
          <w:cantSplit/>
          <w:trHeight w:val="284"/>
        </w:trPr>
        <w:tc>
          <w:tcPr>
            <w:tcW w:w="7567" w:type="dxa"/>
            <w:vAlign w:val="center"/>
          </w:tcPr>
          <w:p>
            <w:pPr>
              <w:autoSpaceDE w:val="0"/>
              <w:snapToGrid w:val="0"/>
              <w:rPr>
                <w:rFonts w:cs="Arial"/>
                <w:szCs w:val="22"/>
              </w:rPr>
            </w:pPr>
            <w:r>
              <w:rPr>
                <w:rFonts w:cs="Arial"/>
                <w:szCs w:val="22"/>
              </w:rPr>
              <w:t xml:space="preserve"> Saldo em 31.12.2019</w:t>
            </w:r>
          </w:p>
        </w:tc>
        <w:tc>
          <w:tcPr>
            <w:tcW w:w="2126" w:type="dxa"/>
            <w:gridSpan w:val="2"/>
            <w:vAlign w:val="center"/>
          </w:tcPr>
          <w:p>
            <w:pPr>
              <w:autoSpaceDE w:val="0"/>
              <w:snapToGrid w:val="0"/>
              <w:ind w:left="88" w:right="-54"/>
              <w:jc w:val="right"/>
              <w:rPr>
                <w:rFonts w:cs="Arial"/>
                <w:szCs w:val="22"/>
              </w:rPr>
            </w:pPr>
            <w:r>
              <w:rPr>
                <w:rFonts w:cs="Arial"/>
                <w:szCs w:val="22"/>
              </w:rPr>
              <w:t>(26.724)</w:t>
            </w:r>
          </w:p>
        </w:tc>
      </w:tr>
      <w:tr>
        <w:trPr>
          <w:trHeight w:val="284"/>
        </w:trPr>
        <w:tc>
          <w:tcPr>
            <w:tcW w:w="7938" w:type="dxa"/>
            <w:gridSpan w:val="2"/>
            <w:vAlign w:val="center"/>
          </w:tcPr>
          <w:p>
            <w:pPr>
              <w:autoSpaceDE w:val="0"/>
              <w:snapToGrid w:val="0"/>
              <w:rPr>
                <w:rFonts w:cs="Arial"/>
                <w:szCs w:val="22"/>
              </w:rPr>
            </w:pPr>
            <w:r>
              <w:rPr>
                <w:rFonts w:cs="Arial"/>
                <w:szCs w:val="22"/>
              </w:rPr>
              <w:t xml:space="preserve"> (+) Constituídas no período</w:t>
            </w:r>
          </w:p>
        </w:tc>
        <w:tc>
          <w:tcPr>
            <w:tcW w:w="1818" w:type="dxa"/>
            <w:gridSpan w:val="2"/>
            <w:shd w:val="clear" w:color="auto" w:fill="auto"/>
            <w:vAlign w:val="bottom"/>
          </w:tcPr>
          <w:p>
            <w:pPr>
              <w:autoSpaceDE w:val="0"/>
              <w:snapToGrid w:val="0"/>
              <w:jc w:val="right"/>
              <w:rPr>
                <w:rFonts w:cs="Arial"/>
                <w:szCs w:val="22"/>
              </w:rPr>
            </w:pPr>
            <w:r>
              <w:rPr>
                <w:rFonts w:cs="Arial"/>
                <w:szCs w:val="22"/>
              </w:rPr>
              <w:t xml:space="preserve">              (366)</w:t>
            </w:r>
          </w:p>
        </w:tc>
      </w:tr>
      <w:tr>
        <w:trPr>
          <w:gridAfter w:val="1"/>
          <w:wAfter w:w="63" w:type="dxa"/>
          <w:cantSplit/>
          <w:trHeight w:val="284"/>
        </w:trPr>
        <w:tc>
          <w:tcPr>
            <w:tcW w:w="7567" w:type="dxa"/>
            <w:vAlign w:val="center"/>
          </w:tcPr>
          <w:p>
            <w:pPr>
              <w:autoSpaceDE w:val="0"/>
              <w:snapToGrid w:val="0"/>
              <w:rPr>
                <w:rFonts w:cs="Arial"/>
                <w:szCs w:val="22"/>
              </w:rPr>
            </w:pPr>
            <w:r>
              <w:rPr>
                <w:rFonts w:cs="Arial"/>
                <w:szCs w:val="22"/>
              </w:rPr>
              <w:t xml:space="preserve"> (-) Reversões ocorridas no período</w:t>
            </w:r>
          </w:p>
        </w:tc>
        <w:tc>
          <w:tcPr>
            <w:tcW w:w="2126" w:type="dxa"/>
            <w:gridSpan w:val="2"/>
            <w:vAlign w:val="center"/>
          </w:tcPr>
          <w:p>
            <w:pPr>
              <w:autoSpaceDE w:val="0"/>
              <w:snapToGrid w:val="0"/>
              <w:ind w:left="88" w:right="-54"/>
              <w:jc w:val="right"/>
              <w:rPr>
                <w:rFonts w:cs="Arial"/>
                <w:szCs w:val="22"/>
              </w:rPr>
            </w:pPr>
            <w:r>
              <w:rPr>
                <w:rFonts w:cs="Arial"/>
                <w:szCs w:val="22"/>
              </w:rPr>
              <w:t>98</w:t>
            </w:r>
          </w:p>
        </w:tc>
      </w:tr>
      <w:tr>
        <w:trPr>
          <w:trHeight w:val="316"/>
        </w:trPr>
        <w:tc>
          <w:tcPr>
            <w:tcW w:w="7938" w:type="dxa"/>
            <w:gridSpan w:val="2"/>
          </w:tcPr>
          <w:p>
            <w:pPr>
              <w:autoSpaceDE w:val="0"/>
              <w:snapToGrid w:val="0"/>
              <w:rPr>
                <w:rFonts w:cs="Arial"/>
                <w:szCs w:val="22"/>
              </w:rPr>
            </w:pPr>
            <w:r>
              <w:rPr>
                <w:rFonts w:cs="Arial"/>
                <w:szCs w:val="22"/>
              </w:rPr>
              <w:t xml:space="preserve"> Saldo final em 31.03.2020</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(26.992)</w:t>
            </w:r>
          </w:p>
        </w:tc>
      </w:tr>
    </w:tbl>
    <w:p>
      <w:pPr>
        <w:rPr>
          <w:rFonts w:cs="Arial"/>
          <w:szCs w:val="22"/>
        </w:rPr>
      </w:pPr>
    </w:p>
    <w:p>
      <w:pPr>
        <w:rPr>
          <w:rFonts w:cs="Arial"/>
          <w:szCs w:val="22"/>
        </w:rPr>
      </w:pPr>
    </w:p>
    <w:p>
      <w:pPr>
        <w:pStyle w:val="Ttulo1"/>
        <w:rPr>
          <w:rFonts w:cs="Arial"/>
        </w:rPr>
      </w:pPr>
      <w:bookmarkStart w:id="71" w:name="_13._INVESTIMENTOS_1"/>
      <w:bookmarkStart w:id="72" w:name="_Toc41376121"/>
      <w:bookmarkEnd w:id="71"/>
      <w:r>
        <w:lastRenderedPageBreak/>
        <w:t>13.</w:t>
      </w:r>
      <w:r>
        <w:tab/>
        <w:t>INVESTIMENTOS</w:t>
      </w:r>
      <w:bookmarkEnd w:id="72"/>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240"/>
        </w:trPr>
        <w:tc>
          <w:tcPr>
            <w:tcW w:w="6008" w:type="dxa"/>
          </w:tcPr>
          <w:p>
            <w:pPr>
              <w:pStyle w:val="Ttulo1"/>
              <w:rPr>
                <w:szCs w:val="22"/>
              </w:rPr>
            </w:pPr>
            <w:bookmarkStart w:id="73" w:name="_13._INVESTIMENTOS"/>
            <w:bookmarkEnd w:id="73"/>
          </w:p>
        </w:tc>
        <w:tc>
          <w:tcPr>
            <w:tcW w:w="1843"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31.03.2020</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31.12.2019</w:t>
            </w:r>
          </w:p>
        </w:tc>
      </w:tr>
      <w:tr>
        <w:trPr>
          <w:trHeight w:val="284"/>
        </w:trPr>
        <w:tc>
          <w:tcPr>
            <w:tcW w:w="6008" w:type="dxa"/>
          </w:tcPr>
          <w:p>
            <w:pPr>
              <w:autoSpaceDE w:val="0"/>
              <w:snapToGrid w:val="0"/>
              <w:rPr>
                <w:rFonts w:cs="Arial"/>
                <w:szCs w:val="22"/>
              </w:rPr>
            </w:pPr>
            <w:r>
              <w:rPr>
                <w:rFonts w:cs="Arial"/>
                <w:szCs w:val="22"/>
              </w:rPr>
              <w:t>Participação Voluntária Permanente</w:t>
            </w:r>
          </w:p>
        </w:tc>
        <w:tc>
          <w:tcPr>
            <w:tcW w:w="1843" w:type="dxa"/>
          </w:tcPr>
          <w:p>
            <w:pPr>
              <w:autoSpaceDE w:val="0"/>
              <w:snapToGrid w:val="0"/>
              <w:ind w:left="88" w:right="-54"/>
              <w:jc w:val="right"/>
              <w:rPr>
                <w:rFonts w:cs="Arial"/>
                <w:szCs w:val="22"/>
              </w:rPr>
            </w:pPr>
            <w:r>
              <w:rPr>
                <w:rFonts w:cs="Arial"/>
                <w:szCs w:val="22"/>
              </w:rPr>
              <w:t>238</w:t>
            </w:r>
          </w:p>
        </w:tc>
        <w:tc>
          <w:tcPr>
            <w:tcW w:w="1842" w:type="dxa"/>
            <w:gridSpan w:val="2"/>
          </w:tcPr>
          <w:p>
            <w:pPr>
              <w:autoSpaceDE w:val="0"/>
              <w:snapToGrid w:val="0"/>
              <w:ind w:left="88" w:right="-54"/>
              <w:jc w:val="right"/>
              <w:rPr>
                <w:rFonts w:cs="Arial"/>
                <w:szCs w:val="22"/>
              </w:rPr>
            </w:pPr>
            <w:r>
              <w:rPr>
                <w:rFonts w:cs="Arial"/>
                <w:szCs w:val="22"/>
              </w:rPr>
              <w:t>238</w:t>
            </w:r>
          </w:p>
        </w:tc>
      </w:tr>
      <w:tr>
        <w:trPr>
          <w:trHeight w:val="284"/>
        </w:trPr>
        <w:tc>
          <w:tcPr>
            <w:tcW w:w="6008" w:type="dxa"/>
          </w:tcPr>
          <w:p>
            <w:pPr>
              <w:autoSpaceDE w:val="0"/>
              <w:snapToGrid w:val="0"/>
              <w:rPr>
                <w:rFonts w:cs="Arial"/>
                <w:szCs w:val="22"/>
              </w:rPr>
            </w:pPr>
            <w:r>
              <w:rPr>
                <w:rFonts w:cs="Arial"/>
                <w:szCs w:val="22"/>
              </w:rPr>
              <w:t>Participação Voluntária Semipermanente</w:t>
            </w:r>
          </w:p>
        </w:tc>
        <w:tc>
          <w:tcPr>
            <w:tcW w:w="1843" w:type="dxa"/>
          </w:tcPr>
          <w:p>
            <w:pPr>
              <w:autoSpaceDE w:val="0"/>
              <w:snapToGrid w:val="0"/>
              <w:ind w:left="88" w:right="-54"/>
              <w:jc w:val="right"/>
              <w:rPr>
                <w:rFonts w:cs="Arial"/>
                <w:szCs w:val="22"/>
              </w:rPr>
            </w:pPr>
            <w:r>
              <w:rPr>
                <w:rFonts w:cs="Arial"/>
                <w:szCs w:val="22"/>
              </w:rPr>
              <w:t>4</w:t>
            </w:r>
          </w:p>
        </w:tc>
        <w:tc>
          <w:tcPr>
            <w:tcW w:w="1842" w:type="dxa"/>
            <w:gridSpan w:val="2"/>
          </w:tcPr>
          <w:p>
            <w:pPr>
              <w:autoSpaceDE w:val="0"/>
              <w:snapToGrid w:val="0"/>
              <w:ind w:left="88" w:right="-54"/>
              <w:jc w:val="right"/>
              <w:rPr>
                <w:rFonts w:cs="Arial"/>
                <w:szCs w:val="22"/>
              </w:rPr>
            </w:pPr>
            <w:r>
              <w:rPr>
                <w:rFonts w:cs="Arial"/>
                <w:szCs w:val="22"/>
              </w:rPr>
              <w:t>4</w:t>
            </w:r>
          </w:p>
        </w:tc>
      </w:tr>
      <w:tr>
        <w:trPr>
          <w:trHeight w:val="284"/>
        </w:trPr>
        <w:tc>
          <w:tcPr>
            <w:tcW w:w="6008" w:type="dxa"/>
          </w:tcPr>
          <w:p>
            <w:pPr>
              <w:autoSpaceDE w:val="0"/>
              <w:snapToGrid w:val="0"/>
              <w:rPr>
                <w:rFonts w:cs="Arial"/>
                <w:szCs w:val="22"/>
              </w:rPr>
            </w:pPr>
            <w:r>
              <w:rPr>
                <w:rFonts w:cs="Arial"/>
                <w:szCs w:val="22"/>
              </w:rPr>
              <w:t>Participação Decorrente Incentivos Fiscais</w:t>
            </w:r>
          </w:p>
        </w:tc>
        <w:tc>
          <w:tcPr>
            <w:tcW w:w="1843" w:type="dxa"/>
          </w:tcPr>
          <w:p>
            <w:pPr>
              <w:autoSpaceDE w:val="0"/>
              <w:snapToGrid w:val="0"/>
              <w:ind w:left="88" w:right="-54"/>
              <w:jc w:val="right"/>
              <w:rPr>
                <w:rFonts w:cs="Arial"/>
                <w:szCs w:val="22"/>
              </w:rPr>
            </w:pPr>
            <w:r>
              <w:rPr>
                <w:rFonts w:cs="Arial"/>
                <w:szCs w:val="22"/>
              </w:rPr>
              <w:t>9</w:t>
            </w:r>
          </w:p>
        </w:tc>
        <w:tc>
          <w:tcPr>
            <w:tcW w:w="1842" w:type="dxa"/>
            <w:gridSpan w:val="2"/>
          </w:tcPr>
          <w:p>
            <w:pPr>
              <w:autoSpaceDE w:val="0"/>
              <w:snapToGrid w:val="0"/>
              <w:ind w:left="88" w:right="-54"/>
              <w:jc w:val="right"/>
              <w:rPr>
                <w:rFonts w:cs="Arial"/>
                <w:szCs w:val="22"/>
              </w:rPr>
            </w:pPr>
            <w:r>
              <w:rPr>
                <w:rFonts w:cs="Arial"/>
                <w:szCs w:val="22"/>
              </w:rPr>
              <w:t>9</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251</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251</w:t>
            </w:r>
          </w:p>
        </w:tc>
      </w:tr>
    </w:tbl>
    <w:p>
      <w:pPr>
        <w:ind w:firstLine="709"/>
        <w:rPr>
          <w:rFonts w:cs="Arial"/>
          <w:szCs w:val="24"/>
        </w:rPr>
      </w:pPr>
      <w:r>
        <w:rPr>
          <w:rFonts w:cs="Arial"/>
          <w:szCs w:val="22"/>
        </w:rPr>
        <w:t>A Companhia possui 6.197.058 ações ordinárias nominativas e não-controladoras da Companhia de Seguros do Estado de São Paulo - Cosesp, entre outras, registradas em seu Balanço pelo custo de aquisição. Por determinação do Decreto nº 1.068, de 2 de março de 1994, os investimentos da Companhia estão depositados no Fundo Nacional de Desestatização - FND, sendo acompanhados pelo gestor Banco Nacional de Desenvolvimento Social - BNDES.</w:t>
      </w:r>
    </w:p>
    <w:p>
      <w:pPr>
        <w:autoSpaceDE w:val="0"/>
        <w:snapToGrid w:val="0"/>
        <w:rPr>
          <w:rFonts w:cs="Arial"/>
          <w:b/>
          <w:bCs/>
          <w:szCs w:val="22"/>
        </w:rPr>
      </w:pPr>
    </w:p>
    <w:p>
      <w:pPr>
        <w:pStyle w:val="Ttulo1"/>
        <w:rPr>
          <w:rFonts w:cs="Arial"/>
          <w:szCs w:val="24"/>
        </w:rPr>
      </w:pPr>
      <w:bookmarkStart w:id="74" w:name="_14._IMOBILIZADO_1"/>
      <w:bookmarkStart w:id="75" w:name="_Toc41376122"/>
      <w:bookmarkEnd w:id="74"/>
      <w:r>
        <w:t>14.</w:t>
      </w:r>
      <w:r>
        <w:tab/>
        <w:t>IMOBILIZADO</w:t>
      </w:r>
      <w:bookmarkEnd w:id="75"/>
    </w:p>
    <w:tbl>
      <w:tblPr>
        <w:tblW w:w="9588" w:type="dxa"/>
        <w:tblLayout w:type="fixed"/>
        <w:tblCellMar>
          <w:left w:w="54" w:type="dxa"/>
          <w:right w:w="54" w:type="dxa"/>
        </w:tblCellMar>
        <w:tblLook w:val="0000" w:firstRow="0" w:lastRow="0" w:firstColumn="0" w:lastColumn="0" w:noHBand="0" w:noVBand="0"/>
      </w:tblPr>
      <w:tblGrid>
        <w:gridCol w:w="3031"/>
        <w:gridCol w:w="1664"/>
        <w:gridCol w:w="1134"/>
        <w:gridCol w:w="1455"/>
        <w:gridCol w:w="1080"/>
        <w:gridCol w:w="1224"/>
      </w:tblGrid>
      <w:tr>
        <w:trPr>
          <w:trHeight w:val="240"/>
        </w:trPr>
        <w:tc>
          <w:tcPr>
            <w:tcW w:w="3031" w:type="dxa"/>
            <w:vAlign w:val="bottom"/>
          </w:tcPr>
          <w:p>
            <w:pPr>
              <w:pStyle w:val="Ttulo1"/>
              <w:rPr>
                <w:rFonts w:cs="Arial"/>
                <w:szCs w:val="22"/>
              </w:rPr>
            </w:pPr>
            <w:bookmarkStart w:id="76" w:name="_14._IMOBILIZADO"/>
            <w:bookmarkEnd w:id="76"/>
          </w:p>
        </w:tc>
        <w:tc>
          <w:tcPr>
            <w:tcW w:w="1664" w:type="dxa"/>
            <w:vMerge w:val="restart"/>
            <w:vAlign w:val="bottom"/>
          </w:tcPr>
          <w:p>
            <w:pPr>
              <w:autoSpaceDE w:val="0"/>
              <w:snapToGrid w:val="0"/>
              <w:jc w:val="right"/>
              <w:rPr>
                <w:rFonts w:cs="Arial"/>
                <w:b/>
                <w:bCs/>
                <w:sz w:val="20"/>
              </w:rPr>
            </w:pPr>
          </w:p>
        </w:tc>
        <w:tc>
          <w:tcPr>
            <w:tcW w:w="3669" w:type="dxa"/>
            <w:gridSpan w:val="3"/>
            <w:vAlign w:val="bottom"/>
          </w:tcPr>
          <w:p>
            <w:pPr>
              <w:pBdr>
                <w:bottom w:val="single" w:sz="4" w:space="1" w:color="000000"/>
              </w:pBdr>
              <w:autoSpaceDE w:val="0"/>
              <w:snapToGrid w:val="0"/>
              <w:jc w:val="center"/>
              <w:rPr>
                <w:rFonts w:cs="Arial"/>
                <w:b/>
                <w:bCs/>
              </w:rPr>
            </w:pPr>
            <w:r>
              <w:rPr>
                <w:rFonts w:cs="Arial"/>
                <w:b/>
                <w:bCs/>
                <w:szCs w:val="22"/>
              </w:rPr>
              <w:t>31.03.2020</w:t>
            </w:r>
          </w:p>
        </w:tc>
        <w:tc>
          <w:tcPr>
            <w:tcW w:w="1224" w:type="dxa"/>
            <w:vAlign w:val="bottom"/>
          </w:tcPr>
          <w:p>
            <w:pPr>
              <w:pBdr>
                <w:bottom w:val="single" w:sz="4" w:space="1" w:color="000000"/>
              </w:pBdr>
              <w:autoSpaceDE w:val="0"/>
              <w:snapToGrid w:val="0"/>
              <w:ind w:right="-54"/>
              <w:jc w:val="center"/>
              <w:rPr>
                <w:rFonts w:cs="Arial"/>
                <w:b/>
                <w:bCs/>
              </w:rPr>
            </w:pPr>
            <w:r>
              <w:rPr>
                <w:rFonts w:cs="Arial"/>
                <w:b/>
                <w:bCs/>
              </w:rPr>
              <w:t>31.12.2019</w:t>
            </w:r>
          </w:p>
        </w:tc>
      </w:tr>
      <w:tr>
        <w:trPr>
          <w:trHeight w:val="486"/>
        </w:trPr>
        <w:tc>
          <w:tcPr>
            <w:tcW w:w="3031" w:type="dxa"/>
            <w:vAlign w:val="bottom"/>
          </w:tcPr>
          <w:p>
            <w:pPr>
              <w:autoSpaceDE w:val="0"/>
              <w:snapToGrid w:val="0"/>
              <w:rPr>
                <w:rFonts w:cs="Arial"/>
                <w:b/>
                <w:bCs/>
                <w:sz w:val="20"/>
              </w:rPr>
            </w:pPr>
          </w:p>
        </w:tc>
        <w:tc>
          <w:tcPr>
            <w:tcW w:w="1664" w:type="dxa"/>
            <w:vMerge/>
            <w:vAlign w:val="bottom"/>
          </w:tcPr>
          <w:p>
            <w:pPr>
              <w:pBdr>
                <w:bottom w:val="single" w:sz="4" w:space="1" w:color="000000"/>
              </w:pBdr>
              <w:autoSpaceDE w:val="0"/>
              <w:snapToGrid w:val="0"/>
              <w:jc w:val="right"/>
              <w:rPr>
                <w:rFonts w:cs="Arial"/>
                <w:b/>
                <w:bCs/>
                <w:sz w:val="20"/>
              </w:rPr>
            </w:pPr>
          </w:p>
        </w:tc>
        <w:tc>
          <w:tcPr>
            <w:tcW w:w="1134" w:type="dxa"/>
            <w:vAlign w:val="bottom"/>
          </w:tcPr>
          <w:p>
            <w:pPr>
              <w:pBdr>
                <w:bottom w:val="single" w:sz="4" w:space="1" w:color="000000"/>
              </w:pBdr>
              <w:autoSpaceDE w:val="0"/>
              <w:snapToGrid w:val="0"/>
              <w:jc w:val="right"/>
              <w:rPr>
                <w:rFonts w:cs="Arial"/>
                <w:b/>
                <w:bCs/>
                <w:sz w:val="20"/>
                <w:highlight w:val="yellow"/>
              </w:rPr>
            </w:pPr>
            <w:r>
              <w:rPr>
                <w:rFonts w:cs="Arial"/>
                <w:b/>
                <w:bCs/>
                <w:sz w:val="20"/>
              </w:rPr>
              <w:t xml:space="preserve">Custo </w:t>
            </w:r>
          </w:p>
        </w:tc>
        <w:tc>
          <w:tcPr>
            <w:tcW w:w="1455" w:type="dxa"/>
            <w:vAlign w:val="bottom"/>
          </w:tcPr>
          <w:p>
            <w:pPr>
              <w:pBdr>
                <w:bottom w:val="single" w:sz="4" w:space="1" w:color="000000"/>
              </w:pBdr>
              <w:autoSpaceDE w:val="0"/>
              <w:snapToGrid w:val="0"/>
              <w:ind w:left="125" w:hanging="125"/>
              <w:jc w:val="right"/>
              <w:rPr>
                <w:rFonts w:cs="Arial"/>
                <w:b/>
                <w:bCs/>
                <w:sz w:val="20"/>
              </w:rPr>
            </w:pPr>
            <w:r>
              <w:rPr>
                <w:rFonts w:cs="Arial"/>
                <w:b/>
                <w:bCs/>
                <w:sz w:val="20"/>
              </w:rPr>
              <w:t>Depreciação acumulada</w:t>
            </w:r>
          </w:p>
        </w:tc>
        <w:tc>
          <w:tcPr>
            <w:tcW w:w="1080" w:type="dxa"/>
            <w:vAlign w:val="bottom"/>
          </w:tcPr>
          <w:p>
            <w:pPr>
              <w:pBdr>
                <w:bottom w:val="single" w:sz="4" w:space="1" w:color="000000"/>
              </w:pBdr>
              <w:autoSpaceDE w:val="0"/>
              <w:snapToGrid w:val="0"/>
              <w:ind w:right="88"/>
              <w:jc w:val="right"/>
              <w:rPr>
                <w:rFonts w:cs="Arial"/>
                <w:b/>
                <w:bCs/>
                <w:sz w:val="20"/>
              </w:rPr>
            </w:pPr>
            <w:r>
              <w:rPr>
                <w:rFonts w:cs="Arial"/>
                <w:b/>
                <w:bCs/>
                <w:sz w:val="20"/>
              </w:rPr>
              <w:t>Valor líquido</w:t>
            </w:r>
          </w:p>
        </w:tc>
        <w:tc>
          <w:tcPr>
            <w:tcW w:w="1224" w:type="dxa"/>
            <w:vAlign w:val="bottom"/>
          </w:tcPr>
          <w:p>
            <w:pPr>
              <w:pBdr>
                <w:bottom w:val="single" w:sz="4" w:space="1" w:color="000000"/>
              </w:pBdr>
              <w:autoSpaceDE w:val="0"/>
              <w:snapToGrid w:val="0"/>
              <w:ind w:right="-54"/>
              <w:jc w:val="right"/>
              <w:rPr>
                <w:rFonts w:cs="Arial"/>
                <w:b/>
                <w:bCs/>
                <w:sz w:val="20"/>
              </w:rPr>
            </w:pPr>
            <w:r>
              <w:rPr>
                <w:rFonts w:cs="Arial"/>
                <w:b/>
                <w:bCs/>
                <w:sz w:val="20"/>
              </w:rPr>
              <w:t>Valor líquido</w:t>
            </w:r>
          </w:p>
        </w:tc>
      </w:tr>
      <w:tr>
        <w:trPr>
          <w:trHeight w:val="284"/>
        </w:trPr>
        <w:tc>
          <w:tcPr>
            <w:tcW w:w="3031" w:type="dxa"/>
            <w:vAlign w:val="bottom"/>
          </w:tcPr>
          <w:p>
            <w:pPr>
              <w:autoSpaceDE w:val="0"/>
              <w:snapToGrid w:val="0"/>
              <w:rPr>
                <w:rFonts w:cs="Arial"/>
              </w:rPr>
            </w:pPr>
            <w:r>
              <w:rPr>
                <w:rFonts w:cs="Arial"/>
              </w:rPr>
              <w:t>Imóveis</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highlight w:val="yellow"/>
              </w:rPr>
            </w:pPr>
            <w:r>
              <w:rPr>
                <w:rFonts w:cs="Arial"/>
              </w:rPr>
              <w:t>303.155</w:t>
            </w:r>
          </w:p>
        </w:tc>
        <w:tc>
          <w:tcPr>
            <w:tcW w:w="1455" w:type="dxa"/>
            <w:vAlign w:val="bottom"/>
          </w:tcPr>
          <w:p>
            <w:pPr>
              <w:autoSpaceDE w:val="0"/>
              <w:snapToGrid w:val="0"/>
              <w:jc w:val="right"/>
              <w:rPr>
                <w:rFonts w:cs="Arial"/>
                <w:highlight w:val="yellow"/>
              </w:rPr>
            </w:pPr>
            <w:r>
              <w:rPr>
                <w:rFonts w:cs="Arial"/>
              </w:rPr>
              <w:t>(200.906)</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102.249</w:t>
            </w:r>
          </w:p>
        </w:tc>
        <w:tc>
          <w:tcPr>
            <w:tcW w:w="1224" w:type="dxa"/>
            <w:vAlign w:val="bottom"/>
          </w:tcPr>
          <w:p>
            <w:pPr>
              <w:autoSpaceDE w:val="0"/>
              <w:snapToGrid w:val="0"/>
              <w:ind w:right="88"/>
              <w:jc w:val="right"/>
              <w:rPr>
                <w:rFonts w:cs="Arial"/>
              </w:rPr>
            </w:pPr>
            <w:r>
              <w:rPr>
                <w:rFonts w:cs="Arial"/>
              </w:rPr>
              <w:t>103.450</w:t>
            </w:r>
          </w:p>
        </w:tc>
      </w:tr>
      <w:tr>
        <w:trPr>
          <w:trHeight w:val="284"/>
        </w:trPr>
        <w:tc>
          <w:tcPr>
            <w:tcW w:w="3031" w:type="dxa"/>
            <w:vAlign w:val="bottom"/>
          </w:tcPr>
          <w:p>
            <w:pPr>
              <w:autoSpaceDE w:val="0"/>
              <w:snapToGrid w:val="0"/>
              <w:rPr>
                <w:rFonts w:cs="Arial"/>
              </w:rPr>
            </w:pPr>
            <w:r>
              <w:rPr>
                <w:rFonts w:cs="Arial"/>
              </w:rPr>
              <w:t>Terrenos</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72.193</w:t>
            </w:r>
          </w:p>
        </w:tc>
        <w:tc>
          <w:tcPr>
            <w:tcW w:w="1455" w:type="dxa"/>
            <w:vAlign w:val="bottom"/>
          </w:tcPr>
          <w:p>
            <w:pPr>
              <w:autoSpaceDE w:val="0"/>
              <w:snapToGrid w:val="0"/>
              <w:jc w:val="right"/>
              <w:rPr>
                <w:rFonts w:cs="Arial"/>
                <w:highlight w:val="yellow"/>
              </w:rPr>
            </w:pPr>
            <w:r>
              <w:rPr>
                <w:rFonts w:cs="Arial"/>
              </w:rPr>
              <w:t>-</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72.193</w:t>
            </w:r>
          </w:p>
        </w:tc>
        <w:tc>
          <w:tcPr>
            <w:tcW w:w="1224" w:type="dxa"/>
            <w:vAlign w:val="bottom"/>
          </w:tcPr>
          <w:p>
            <w:pPr>
              <w:autoSpaceDE w:val="0"/>
              <w:snapToGrid w:val="0"/>
              <w:ind w:right="88"/>
              <w:jc w:val="right"/>
              <w:rPr>
                <w:rFonts w:cs="Arial"/>
              </w:rPr>
            </w:pPr>
            <w:r>
              <w:rPr>
                <w:rFonts w:cs="Arial"/>
              </w:rPr>
              <w:t>72.193</w:t>
            </w:r>
          </w:p>
        </w:tc>
      </w:tr>
      <w:tr>
        <w:trPr>
          <w:trHeight w:val="284"/>
        </w:trPr>
        <w:tc>
          <w:tcPr>
            <w:tcW w:w="3031" w:type="dxa"/>
            <w:vAlign w:val="bottom"/>
          </w:tcPr>
          <w:p>
            <w:pPr>
              <w:autoSpaceDE w:val="0"/>
              <w:snapToGrid w:val="0"/>
              <w:rPr>
                <w:rFonts w:cs="Arial"/>
              </w:rPr>
            </w:pPr>
            <w:r>
              <w:rPr>
                <w:rFonts w:cs="Arial"/>
              </w:rPr>
              <w:t>Equipamentos e Instalações</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35.977</w:t>
            </w:r>
          </w:p>
        </w:tc>
        <w:tc>
          <w:tcPr>
            <w:tcW w:w="1455" w:type="dxa"/>
            <w:vAlign w:val="bottom"/>
          </w:tcPr>
          <w:p>
            <w:pPr>
              <w:autoSpaceDE w:val="0"/>
              <w:snapToGrid w:val="0"/>
              <w:jc w:val="right"/>
              <w:rPr>
                <w:rFonts w:cs="Arial"/>
                <w:highlight w:val="yellow"/>
              </w:rPr>
            </w:pPr>
            <w:r>
              <w:rPr>
                <w:rFonts w:cs="Arial"/>
              </w:rPr>
              <w:t>(22.354)</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13.623</w:t>
            </w:r>
          </w:p>
        </w:tc>
        <w:tc>
          <w:tcPr>
            <w:tcW w:w="1224" w:type="dxa"/>
            <w:vAlign w:val="bottom"/>
          </w:tcPr>
          <w:p>
            <w:pPr>
              <w:autoSpaceDE w:val="0"/>
              <w:snapToGrid w:val="0"/>
              <w:ind w:right="88"/>
              <w:jc w:val="right"/>
              <w:rPr>
                <w:rFonts w:cs="Arial"/>
              </w:rPr>
            </w:pPr>
            <w:r>
              <w:rPr>
                <w:rFonts w:cs="Arial"/>
              </w:rPr>
              <w:t>13.922</w:t>
            </w:r>
          </w:p>
        </w:tc>
      </w:tr>
      <w:tr>
        <w:trPr>
          <w:trHeight w:val="284"/>
        </w:trPr>
        <w:tc>
          <w:tcPr>
            <w:tcW w:w="3031" w:type="dxa"/>
            <w:vAlign w:val="bottom"/>
          </w:tcPr>
          <w:p>
            <w:pPr>
              <w:autoSpaceDE w:val="0"/>
              <w:snapToGrid w:val="0"/>
              <w:rPr>
                <w:rFonts w:cs="Arial"/>
              </w:rPr>
            </w:pPr>
            <w:r>
              <w:rPr>
                <w:rFonts w:cs="Arial"/>
              </w:rPr>
              <w:t>Obras em Andamento</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8.779</w:t>
            </w:r>
          </w:p>
        </w:tc>
        <w:tc>
          <w:tcPr>
            <w:tcW w:w="1455" w:type="dxa"/>
            <w:vAlign w:val="bottom"/>
          </w:tcPr>
          <w:p>
            <w:pPr>
              <w:autoSpaceDE w:val="0"/>
              <w:snapToGrid w:val="0"/>
              <w:jc w:val="right"/>
              <w:rPr>
                <w:rFonts w:cs="Arial"/>
                <w:highlight w:val="yellow"/>
              </w:rPr>
            </w:pPr>
            <w:r>
              <w:rPr>
                <w:rFonts w:cs="Arial"/>
              </w:rPr>
              <w:t>-</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8.779</w:t>
            </w:r>
          </w:p>
        </w:tc>
        <w:tc>
          <w:tcPr>
            <w:tcW w:w="1224" w:type="dxa"/>
            <w:vAlign w:val="bottom"/>
          </w:tcPr>
          <w:p>
            <w:pPr>
              <w:autoSpaceDE w:val="0"/>
              <w:snapToGrid w:val="0"/>
              <w:ind w:right="88"/>
              <w:jc w:val="right"/>
              <w:rPr>
                <w:rFonts w:cs="Arial"/>
              </w:rPr>
            </w:pPr>
            <w:r>
              <w:rPr>
                <w:rFonts w:cs="Arial"/>
              </w:rPr>
              <w:t>8.779</w:t>
            </w:r>
          </w:p>
        </w:tc>
      </w:tr>
      <w:tr>
        <w:trPr>
          <w:trHeight w:val="284"/>
        </w:trPr>
        <w:tc>
          <w:tcPr>
            <w:tcW w:w="3031" w:type="dxa"/>
            <w:vAlign w:val="bottom"/>
          </w:tcPr>
          <w:p>
            <w:pPr>
              <w:autoSpaceDE w:val="0"/>
              <w:snapToGrid w:val="0"/>
              <w:rPr>
                <w:rFonts w:cs="Arial"/>
              </w:rPr>
            </w:pPr>
            <w:r>
              <w:rPr>
                <w:rFonts w:cs="Arial"/>
              </w:rPr>
              <w:t>Obras Elétricas</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15.193</w:t>
            </w:r>
          </w:p>
        </w:tc>
        <w:tc>
          <w:tcPr>
            <w:tcW w:w="1455" w:type="dxa"/>
            <w:vAlign w:val="bottom"/>
          </w:tcPr>
          <w:p>
            <w:pPr>
              <w:autoSpaceDE w:val="0"/>
              <w:snapToGrid w:val="0"/>
              <w:jc w:val="right"/>
              <w:rPr>
                <w:rFonts w:cs="Arial"/>
                <w:highlight w:val="yellow"/>
              </w:rPr>
            </w:pPr>
            <w:r>
              <w:rPr>
                <w:rFonts w:cs="Arial"/>
              </w:rPr>
              <w:t>(10.331)</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4.862</w:t>
            </w:r>
          </w:p>
        </w:tc>
        <w:tc>
          <w:tcPr>
            <w:tcW w:w="1224" w:type="dxa"/>
            <w:vAlign w:val="bottom"/>
          </w:tcPr>
          <w:p>
            <w:pPr>
              <w:autoSpaceDE w:val="0"/>
              <w:snapToGrid w:val="0"/>
              <w:ind w:right="88"/>
              <w:jc w:val="right"/>
              <w:rPr>
                <w:rFonts w:cs="Arial"/>
              </w:rPr>
            </w:pPr>
            <w:r>
              <w:rPr>
                <w:rFonts w:cs="Arial"/>
              </w:rPr>
              <w:t>4.976</w:t>
            </w:r>
          </w:p>
        </w:tc>
      </w:tr>
      <w:tr>
        <w:trPr>
          <w:trHeight w:val="284"/>
        </w:trPr>
        <w:tc>
          <w:tcPr>
            <w:tcW w:w="3031" w:type="dxa"/>
            <w:vAlign w:val="bottom"/>
          </w:tcPr>
          <w:p>
            <w:pPr>
              <w:autoSpaceDE w:val="0"/>
              <w:snapToGrid w:val="0"/>
              <w:rPr>
                <w:rFonts w:cs="Arial"/>
              </w:rPr>
            </w:pPr>
            <w:r>
              <w:rPr>
                <w:rFonts w:cs="Arial"/>
              </w:rPr>
              <w:t>Bens Cedidos em Comodato</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highlight w:val="yellow"/>
              </w:rPr>
            </w:pPr>
            <w:r>
              <w:rPr>
                <w:rFonts w:cs="Arial"/>
              </w:rPr>
              <w:t>1.482</w:t>
            </w:r>
          </w:p>
        </w:tc>
        <w:tc>
          <w:tcPr>
            <w:tcW w:w="1455" w:type="dxa"/>
            <w:vAlign w:val="bottom"/>
          </w:tcPr>
          <w:p>
            <w:pPr>
              <w:autoSpaceDE w:val="0"/>
              <w:snapToGrid w:val="0"/>
              <w:jc w:val="right"/>
              <w:rPr>
                <w:rFonts w:cs="Arial"/>
                <w:highlight w:val="yellow"/>
              </w:rPr>
            </w:pPr>
            <w:r>
              <w:rPr>
                <w:rFonts w:cs="Arial"/>
              </w:rPr>
              <w:t>-</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1.482</w:t>
            </w:r>
          </w:p>
        </w:tc>
        <w:tc>
          <w:tcPr>
            <w:tcW w:w="1224" w:type="dxa"/>
            <w:vAlign w:val="bottom"/>
          </w:tcPr>
          <w:p>
            <w:pPr>
              <w:autoSpaceDE w:val="0"/>
              <w:snapToGrid w:val="0"/>
              <w:ind w:right="88"/>
              <w:jc w:val="right"/>
              <w:rPr>
                <w:rFonts w:cs="Arial"/>
              </w:rPr>
            </w:pPr>
            <w:r>
              <w:rPr>
                <w:rFonts w:cs="Arial"/>
              </w:rPr>
              <w:t>1.482</w:t>
            </w:r>
          </w:p>
        </w:tc>
      </w:tr>
      <w:tr>
        <w:trPr>
          <w:trHeight w:val="284"/>
        </w:trPr>
        <w:tc>
          <w:tcPr>
            <w:tcW w:w="3031" w:type="dxa"/>
            <w:vAlign w:val="bottom"/>
          </w:tcPr>
          <w:p>
            <w:pPr>
              <w:autoSpaceDE w:val="0"/>
              <w:snapToGrid w:val="0"/>
              <w:rPr>
                <w:rFonts w:cs="Arial"/>
              </w:rPr>
            </w:pPr>
            <w:r>
              <w:rPr>
                <w:rFonts w:cs="Arial"/>
              </w:rPr>
              <w:t>Equipamentos de Informática</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4.997</w:t>
            </w:r>
          </w:p>
        </w:tc>
        <w:tc>
          <w:tcPr>
            <w:tcW w:w="1455" w:type="dxa"/>
            <w:vAlign w:val="bottom"/>
          </w:tcPr>
          <w:p>
            <w:pPr>
              <w:autoSpaceDE w:val="0"/>
              <w:snapToGrid w:val="0"/>
              <w:jc w:val="right"/>
              <w:rPr>
                <w:rFonts w:cs="Arial"/>
                <w:highlight w:val="yellow"/>
              </w:rPr>
            </w:pPr>
            <w:r>
              <w:rPr>
                <w:rFonts w:cs="Arial"/>
              </w:rPr>
              <w:t>(3.653)</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1.344</w:t>
            </w:r>
          </w:p>
        </w:tc>
        <w:tc>
          <w:tcPr>
            <w:tcW w:w="1224" w:type="dxa"/>
            <w:vAlign w:val="bottom"/>
          </w:tcPr>
          <w:p>
            <w:pPr>
              <w:autoSpaceDE w:val="0"/>
              <w:snapToGrid w:val="0"/>
              <w:ind w:right="88"/>
              <w:jc w:val="right"/>
              <w:rPr>
                <w:rFonts w:cs="Arial"/>
              </w:rPr>
            </w:pPr>
            <w:r>
              <w:rPr>
                <w:rFonts w:cs="Arial"/>
              </w:rPr>
              <w:t>1.453</w:t>
            </w:r>
          </w:p>
        </w:tc>
      </w:tr>
      <w:tr>
        <w:trPr>
          <w:trHeight w:val="284"/>
        </w:trPr>
        <w:tc>
          <w:tcPr>
            <w:tcW w:w="3031" w:type="dxa"/>
            <w:vAlign w:val="bottom"/>
          </w:tcPr>
          <w:p>
            <w:pPr>
              <w:autoSpaceDE w:val="0"/>
              <w:snapToGrid w:val="0"/>
              <w:rPr>
                <w:rFonts w:cs="Arial"/>
              </w:rPr>
            </w:pPr>
            <w:r>
              <w:rPr>
                <w:rFonts w:cs="Arial"/>
              </w:rPr>
              <w:t>Móveis e Utensílios</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2.187</w:t>
            </w:r>
          </w:p>
        </w:tc>
        <w:tc>
          <w:tcPr>
            <w:tcW w:w="1455" w:type="dxa"/>
            <w:vAlign w:val="bottom"/>
          </w:tcPr>
          <w:p>
            <w:pPr>
              <w:autoSpaceDE w:val="0"/>
              <w:snapToGrid w:val="0"/>
              <w:jc w:val="right"/>
              <w:rPr>
                <w:rFonts w:cs="Arial"/>
                <w:highlight w:val="yellow"/>
              </w:rPr>
            </w:pPr>
            <w:r>
              <w:rPr>
                <w:rFonts w:cs="Arial"/>
              </w:rPr>
              <w:t>(1.729)</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458</w:t>
            </w:r>
          </w:p>
        </w:tc>
        <w:tc>
          <w:tcPr>
            <w:tcW w:w="1224" w:type="dxa"/>
            <w:vAlign w:val="bottom"/>
          </w:tcPr>
          <w:p>
            <w:pPr>
              <w:autoSpaceDE w:val="0"/>
              <w:snapToGrid w:val="0"/>
              <w:ind w:right="88"/>
              <w:jc w:val="right"/>
              <w:rPr>
                <w:rFonts w:cs="Arial"/>
              </w:rPr>
            </w:pPr>
            <w:r>
              <w:rPr>
                <w:rFonts w:cs="Arial"/>
              </w:rPr>
              <w:t>475</w:t>
            </w:r>
          </w:p>
        </w:tc>
      </w:tr>
      <w:tr>
        <w:trPr>
          <w:trHeight w:val="284"/>
        </w:trPr>
        <w:tc>
          <w:tcPr>
            <w:tcW w:w="3031" w:type="dxa"/>
            <w:vAlign w:val="bottom"/>
          </w:tcPr>
          <w:p>
            <w:pPr>
              <w:autoSpaceDE w:val="0"/>
              <w:snapToGrid w:val="0"/>
              <w:rPr>
                <w:rFonts w:cs="Arial"/>
              </w:rPr>
            </w:pPr>
            <w:r>
              <w:rPr>
                <w:rFonts w:cs="Arial"/>
              </w:rPr>
              <w:t>Benfeitorias em Bens de 3º</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highlight w:val="yellow"/>
              </w:rPr>
            </w:pPr>
            <w:r>
              <w:rPr>
                <w:rFonts w:cs="Arial"/>
              </w:rPr>
              <w:t>2.635</w:t>
            </w:r>
          </w:p>
        </w:tc>
        <w:tc>
          <w:tcPr>
            <w:tcW w:w="1455" w:type="dxa"/>
            <w:vAlign w:val="bottom"/>
          </w:tcPr>
          <w:p>
            <w:pPr>
              <w:autoSpaceDE w:val="0"/>
              <w:snapToGrid w:val="0"/>
              <w:jc w:val="right"/>
              <w:rPr>
                <w:rFonts w:cs="Arial"/>
                <w:highlight w:val="yellow"/>
              </w:rPr>
            </w:pPr>
            <w:r>
              <w:rPr>
                <w:rFonts w:cs="Arial"/>
              </w:rPr>
              <w:t>(2.258)</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377</w:t>
            </w:r>
          </w:p>
        </w:tc>
        <w:tc>
          <w:tcPr>
            <w:tcW w:w="1224" w:type="dxa"/>
            <w:vAlign w:val="bottom"/>
          </w:tcPr>
          <w:p>
            <w:pPr>
              <w:autoSpaceDE w:val="0"/>
              <w:snapToGrid w:val="0"/>
              <w:ind w:right="88"/>
              <w:jc w:val="right"/>
              <w:rPr>
                <w:rFonts w:cs="Arial"/>
              </w:rPr>
            </w:pPr>
            <w:r>
              <w:rPr>
                <w:rFonts w:cs="Arial"/>
              </w:rPr>
              <w:t>388</w:t>
            </w:r>
          </w:p>
        </w:tc>
      </w:tr>
      <w:tr>
        <w:trPr>
          <w:trHeight w:val="284"/>
        </w:trPr>
        <w:tc>
          <w:tcPr>
            <w:tcW w:w="3031" w:type="dxa"/>
            <w:vAlign w:val="bottom"/>
          </w:tcPr>
          <w:p>
            <w:pPr>
              <w:autoSpaceDE w:val="0"/>
              <w:snapToGrid w:val="0"/>
              <w:rPr>
                <w:rFonts w:cs="Arial"/>
              </w:rPr>
            </w:pPr>
            <w:r>
              <w:rPr>
                <w:rFonts w:cs="Arial"/>
              </w:rPr>
              <w:t>Obras Hidráulicas</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4.323</w:t>
            </w:r>
          </w:p>
        </w:tc>
        <w:tc>
          <w:tcPr>
            <w:tcW w:w="1455" w:type="dxa"/>
            <w:vAlign w:val="bottom"/>
          </w:tcPr>
          <w:p>
            <w:pPr>
              <w:autoSpaceDE w:val="0"/>
              <w:snapToGrid w:val="0"/>
              <w:jc w:val="right"/>
              <w:rPr>
                <w:rFonts w:cs="Arial"/>
                <w:highlight w:val="yellow"/>
              </w:rPr>
            </w:pPr>
            <w:r>
              <w:rPr>
                <w:rFonts w:cs="Arial"/>
              </w:rPr>
              <w:t>(3.968)</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355</w:t>
            </w:r>
          </w:p>
        </w:tc>
        <w:tc>
          <w:tcPr>
            <w:tcW w:w="1224" w:type="dxa"/>
            <w:vAlign w:val="bottom"/>
          </w:tcPr>
          <w:p>
            <w:pPr>
              <w:autoSpaceDE w:val="0"/>
              <w:snapToGrid w:val="0"/>
              <w:ind w:right="88"/>
              <w:jc w:val="right"/>
              <w:rPr>
                <w:rFonts w:cs="Arial"/>
              </w:rPr>
            </w:pPr>
            <w:r>
              <w:rPr>
                <w:rFonts w:cs="Arial"/>
              </w:rPr>
              <w:t>369</w:t>
            </w:r>
          </w:p>
        </w:tc>
      </w:tr>
      <w:tr>
        <w:trPr>
          <w:trHeight w:val="284"/>
        </w:trPr>
        <w:tc>
          <w:tcPr>
            <w:tcW w:w="3031" w:type="dxa"/>
            <w:vAlign w:val="bottom"/>
          </w:tcPr>
          <w:p>
            <w:pPr>
              <w:autoSpaceDE w:val="0"/>
              <w:snapToGrid w:val="0"/>
              <w:rPr>
                <w:rFonts w:cs="Arial"/>
              </w:rPr>
            </w:pPr>
            <w:r>
              <w:rPr>
                <w:rFonts w:cs="Arial"/>
              </w:rPr>
              <w:t>Veículos</w:t>
            </w:r>
          </w:p>
        </w:tc>
        <w:tc>
          <w:tcPr>
            <w:tcW w:w="1664" w:type="dxa"/>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517</w:t>
            </w:r>
          </w:p>
        </w:tc>
        <w:tc>
          <w:tcPr>
            <w:tcW w:w="1455" w:type="dxa"/>
            <w:vAlign w:val="bottom"/>
          </w:tcPr>
          <w:p>
            <w:pPr>
              <w:autoSpaceDE w:val="0"/>
              <w:snapToGrid w:val="0"/>
              <w:jc w:val="right"/>
              <w:rPr>
                <w:rFonts w:cs="Arial"/>
                <w:highlight w:val="yellow"/>
              </w:rPr>
            </w:pPr>
            <w:r>
              <w:rPr>
                <w:rFonts w:cs="Arial"/>
              </w:rPr>
              <w:t>(514)</w:t>
            </w:r>
          </w:p>
        </w:tc>
        <w:tc>
          <w:tcPr>
            <w:tcW w:w="1080" w:type="dxa"/>
            <w:tcBorders>
              <w:top w:val="nil"/>
              <w:left w:val="nil"/>
              <w:bottom w:val="nil"/>
              <w:right w:val="nil"/>
            </w:tcBorders>
            <w:shd w:val="clear" w:color="auto" w:fill="auto"/>
            <w:vAlign w:val="bottom"/>
          </w:tcPr>
          <w:p>
            <w:pPr>
              <w:autoSpaceDE w:val="0"/>
              <w:snapToGrid w:val="0"/>
              <w:ind w:right="88"/>
              <w:jc w:val="right"/>
              <w:rPr>
                <w:rFonts w:cs="Arial"/>
              </w:rPr>
            </w:pPr>
            <w:r>
              <w:rPr>
                <w:rFonts w:cs="Arial"/>
              </w:rPr>
              <w:t>3</w:t>
            </w:r>
          </w:p>
        </w:tc>
        <w:tc>
          <w:tcPr>
            <w:tcW w:w="1224" w:type="dxa"/>
            <w:vAlign w:val="bottom"/>
          </w:tcPr>
          <w:p>
            <w:pPr>
              <w:autoSpaceDE w:val="0"/>
              <w:snapToGrid w:val="0"/>
              <w:ind w:right="88"/>
              <w:jc w:val="right"/>
              <w:rPr>
                <w:rFonts w:cs="Arial"/>
              </w:rPr>
            </w:pPr>
            <w:r>
              <w:rPr>
                <w:rFonts w:cs="Arial"/>
              </w:rPr>
              <w:t>3</w:t>
            </w:r>
          </w:p>
        </w:tc>
      </w:tr>
      <w:tr>
        <w:tc>
          <w:tcPr>
            <w:tcW w:w="3031" w:type="dxa"/>
            <w:vAlign w:val="bottom"/>
          </w:tcPr>
          <w:p>
            <w:pPr>
              <w:autoSpaceDE w:val="0"/>
              <w:snapToGrid w:val="0"/>
              <w:rPr>
                <w:rFonts w:cs="Arial"/>
                <w:sz w:val="20"/>
              </w:rPr>
            </w:pPr>
          </w:p>
        </w:tc>
        <w:tc>
          <w:tcPr>
            <w:tcW w:w="1664" w:type="dxa"/>
            <w:vAlign w:val="bottom"/>
          </w:tcPr>
          <w:p>
            <w:pPr>
              <w:autoSpaceDE w:val="0"/>
              <w:snapToGrid w:val="0"/>
              <w:jc w:val="right"/>
              <w:rPr>
                <w:rFonts w:cs="Arial"/>
                <w:sz w:val="20"/>
              </w:rPr>
            </w:pPr>
          </w:p>
        </w:tc>
        <w:tc>
          <w:tcPr>
            <w:tcW w:w="1134" w:type="dxa"/>
            <w:vAlign w:val="bottom"/>
          </w:tcPr>
          <w:p>
            <w:pPr>
              <w:pBdr>
                <w:top w:val="single" w:sz="4" w:space="1" w:color="000000"/>
                <w:bottom w:val="double" w:sz="1" w:space="1" w:color="000000"/>
              </w:pBdr>
              <w:autoSpaceDE w:val="0"/>
              <w:snapToGrid w:val="0"/>
              <w:jc w:val="right"/>
              <w:rPr>
                <w:rFonts w:cs="Arial"/>
                <w:b/>
                <w:highlight w:val="yellow"/>
              </w:rPr>
            </w:pPr>
            <w:r>
              <w:rPr>
                <w:rFonts w:cs="Arial"/>
                <w:b/>
              </w:rPr>
              <w:t>451.438</w:t>
            </w:r>
          </w:p>
        </w:tc>
        <w:tc>
          <w:tcPr>
            <w:tcW w:w="1455" w:type="dxa"/>
            <w:vAlign w:val="bottom"/>
          </w:tcPr>
          <w:p>
            <w:pPr>
              <w:pBdr>
                <w:top w:val="single" w:sz="4" w:space="1" w:color="000000"/>
                <w:bottom w:val="double" w:sz="1" w:space="1" w:color="000000"/>
              </w:pBdr>
              <w:autoSpaceDE w:val="0"/>
              <w:snapToGrid w:val="0"/>
              <w:jc w:val="right"/>
              <w:rPr>
                <w:rFonts w:cs="Arial"/>
                <w:b/>
                <w:highlight w:val="yellow"/>
              </w:rPr>
            </w:pPr>
            <w:r>
              <w:rPr>
                <w:rFonts w:cs="Arial"/>
                <w:b/>
              </w:rPr>
              <w:t>(245.713)</w:t>
            </w:r>
          </w:p>
        </w:tc>
        <w:tc>
          <w:tcPr>
            <w:tcW w:w="1080" w:type="dxa"/>
            <w:vAlign w:val="bottom"/>
          </w:tcPr>
          <w:p>
            <w:pPr>
              <w:pBdr>
                <w:top w:val="single" w:sz="4" w:space="1" w:color="000000"/>
                <w:bottom w:val="double" w:sz="1" w:space="1" w:color="000000"/>
              </w:pBdr>
              <w:autoSpaceDE w:val="0"/>
              <w:snapToGrid w:val="0"/>
              <w:ind w:right="88"/>
              <w:jc w:val="right"/>
              <w:rPr>
                <w:rFonts w:cs="Arial"/>
                <w:b/>
                <w:highlight w:val="yellow"/>
              </w:rPr>
            </w:pPr>
            <w:r>
              <w:rPr>
                <w:rFonts w:cs="Arial"/>
                <w:b/>
              </w:rPr>
              <w:t>205.725</w:t>
            </w:r>
          </w:p>
        </w:tc>
        <w:tc>
          <w:tcPr>
            <w:tcW w:w="1224" w:type="dxa"/>
            <w:vAlign w:val="bottom"/>
          </w:tcPr>
          <w:p>
            <w:pPr>
              <w:pBdr>
                <w:top w:val="single" w:sz="4" w:space="1" w:color="000000"/>
                <w:bottom w:val="double" w:sz="1" w:space="1" w:color="000000"/>
              </w:pBdr>
              <w:autoSpaceDE w:val="0"/>
              <w:snapToGrid w:val="0"/>
              <w:ind w:right="88"/>
              <w:jc w:val="right"/>
              <w:rPr>
                <w:rFonts w:cs="Arial"/>
                <w:b/>
                <w:highlight w:val="yellow"/>
              </w:rPr>
            </w:pPr>
            <w:r>
              <w:rPr>
                <w:rFonts w:cs="Arial"/>
                <w:b/>
              </w:rPr>
              <w:t>207.490</w:t>
            </w:r>
          </w:p>
        </w:tc>
      </w:tr>
    </w:tbl>
    <w:p>
      <w:pPr>
        <w:rPr>
          <w:rFonts w:cs="Arial"/>
        </w:rPr>
      </w:pPr>
    </w:p>
    <w:p>
      <w:pPr>
        <w:ind w:firstLine="709"/>
        <w:rPr>
          <w:rFonts w:cs="Arial"/>
        </w:rPr>
      </w:pPr>
      <w:r>
        <w:rPr>
          <w:rFonts w:cs="Arial"/>
        </w:rPr>
        <w:t>A Companhia possui Unidades em municípios do Estado de São Paulo assim identificadas:</w:t>
      </w:r>
    </w:p>
    <w:p>
      <w:pPr>
        <w:rPr>
          <w:rFonts w:cs="Arial"/>
        </w:rPr>
      </w:pPr>
    </w:p>
    <w:p>
      <w:pPr>
        <w:numPr>
          <w:ilvl w:val="0"/>
          <w:numId w:val="4"/>
        </w:numPr>
        <w:tabs>
          <w:tab w:val="left" w:pos="0"/>
        </w:tabs>
        <w:rPr>
          <w:rFonts w:cs="Arial"/>
          <w:szCs w:val="22"/>
        </w:rPr>
      </w:pPr>
      <w:r>
        <w:rPr>
          <w:rFonts w:cs="Arial"/>
          <w:szCs w:val="22"/>
        </w:rPr>
        <w:t>32 Unidades Armazenadoras Operacionais.</w:t>
      </w:r>
    </w:p>
    <w:p>
      <w:pPr>
        <w:numPr>
          <w:ilvl w:val="0"/>
          <w:numId w:val="4"/>
        </w:numPr>
        <w:tabs>
          <w:tab w:val="left" w:pos="0"/>
        </w:tabs>
        <w:rPr>
          <w:rFonts w:cs="Arial"/>
        </w:rPr>
      </w:pPr>
      <w:r>
        <w:rPr>
          <w:rFonts w:cs="Arial"/>
        </w:rPr>
        <w:t>01 Unidade Frigorífica Armazenadora Polivalente.</w:t>
      </w:r>
    </w:p>
    <w:p>
      <w:pPr>
        <w:numPr>
          <w:ilvl w:val="0"/>
          <w:numId w:val="4"/>
        </w:numPr>
        <w:tabs>
          <w:tab w:val="left" w:pos="0"/>
        </w:tabs>
        <w:rPr>
          <w:rFonts w:cs="Arial"/>
          <w:szCs w:val="22"/>
        </w:rPr>
      </w:pPr>
      <w:r>
        <w:rPr>
          <w:rFonts w:cs="Arial"/>
          <w:szCs w:val="22"/>
        </w:rPr>
        <w:t xml:space="preserve">01 Unidade de </w:t>
      </w:r>
      <w:proofErr w:type="spellStart"/>
      <w:r>
        <w:rPr>
          <w:rFonts w:cs="Arial"/>
          <w:szCs w:val="22"/>
        </w:rPr>
        <w:t>Entrepostagem</w:t>
      </w:r>
      <w:proofErr w:type="spellEnd"/>
      <w:r>
        <w:rPr>
          <w:rFonts w:cs="Arial"/>
          <w:szCs w:val="22"/>
        </w:rPr>
        <w:t xml:space="preserve"> na Capital.</w:t>
      </w:r>
    </w:p>
    <w:p>
      <w:pPr>
        <w:numPr>
          <w:ilvl w:val="0"/>
          <w:numId w:val="4"/>
        </w:numPr>
        <w:tabs>
          <w:tab w:val="left" w:pos="0"/>
        </w:tabs>
        <w:rPr>
          <w:rFonts w:cs="Arial"/>
          <w:szCs w:val="22"/>
        </w:rPr>
      </w:pPr>
      <w:r>
        <w:rPr>
          <w:rFonts w:cs="Arial"/>
          <w:szCs w:val="22"/>
        </w:rPr>
        <w:t>04 Unidades Frigoríficas e Fábrica de Gelo.</w:t>
      </w:r>
    </w:p>
    <w:p>
      <w:pPr>
        <w:numPr>
          <w:ilvl w:val="0"/>
          <w:numId w:val="4"/>
        </w:numPr>
        <w:tabs>
          <w:tab w:val="left" w:pos="0"/>
        </w:tabs>
        <w:rPr>
          <w:rFonts w:cs="Arial"/>
        </w:rPr>
      </w:pPr>
      <w:r>
        <w:rPr>
          <w:rFonts w:cs="Arial"/>
        </w:rPr>
        <w:t xml:space="preserve">12 Unidades de </w:t>
      </w:r>
      <w:proofErr w:type="spellStart"/>
      <w:r>
        <w:rPr>
          <w:rFonts w:cs="Arial"/>
        </w:rPr>
        <w:t>Entrepostagem</w:t>
      </w:r>
      <w:proofErr w:type="spellEnd"/>
      <w:r>
        <w:rPr>
          <w:rFonts w:cs="Arial"/>
        </w:rPr>
        <w:t xml:space="preserve"> no Interior (</w:t>
      </w:r>
      <w:proofErr w:type="spellStart"/>
      <w:r>
        <w:rPr>
          <w:rFonts w:cs="Arial"/>
        </w:rPr>
        <w:t>Ceasas</w:t>
      </w:r>
      <w:proofErr w:type="spellEnd"/>
      <w:r>
        <w:rPr>
          <w:rFonts w:cs="Arial"/>
        </w:rPr>
        <w:t>).</w:t>
      </w:r>
    </w:p>
    <w:p>
      <w:pPr>
        <w:numPr>
          <w:ilvl w:val="0"/>
          <w:numId w:val="4"/>
        </w:numPr>
        <w:tabs>
          <w:tab w:val="left" w:pos="0"/>
        </w:tabs>
        <w:rPr>
          <w:rFonts w:cs="Arial"/>
          <w:szCs w:val="22"/>
        </w:rPr>
      </w:pPr>
      <w:r>
        <w:rPr>
          <w:rFonts w:cs="Arial"/>
          <w:szCs w:val="22"/>
        </w:rPr>
        <w:t>04 Terrenos.</w:t>
      </w:r>
    </w:p>
    <w:p>
      <w:pPr>
        <w:rPr>
          <w:rFonts w:cs="Arial"/>
          <w:szCs w:val="22"/>
        </w:rPr>
      </w:pPr>
    </w:p>
    <w:p>
      <w:pPr>
        <w:ind w:firstLine="709"/>
        <w:rPr>
          <w:rFonts w:cs="Arial"/>
          <w:szCs w:val="22"/>
        </w:rPr>
      </w:pPr>
      <w:r>
        <w:rPr>
          <w:rFonts w:cs="Arial"/>
          <w:szCs w:val="22"/>
        </w:rPr>
        <w:t>Parte das Unidades operacionais estão instaladas em terrenos doados por órgãos públicos e registradas pelo valor constante da documentação legal. Encontra-se em andamento o processo de regularização das pendências dos terrenos doados por órgãos públicos.</w:t>
      </w:r>
    </w:p>
    <w:p>
      <w:pPr>
        <w:rPr>
          <w:rFonts w:cs="Arial"/>
          <w:szCs w:val="22"/>
        </w:rPr>
      </w:pPr>
    </w:p>
    <w:p>
      <w:pPr>
        <w:ind w:firstLine="709"/>
        <w:rPr>
          <w:rFonts w:cs="Arial"/>
          <w:bCs/>
          <w:szCs w:val="22"/>
        </w:rPr>
      </w:pPr>
      <w:r>
        <w:rPr>
          <w:rFonts w:cs="Arial"/>
          <w:szCs w:val="22"/>
        </w:rPr>
        <w:t>No exercício de 1996, a Companhia reavaliou os ativos instalados em Unidades operacionais.</w:t>
      </w:r>
      <w:r>
        <w:rPr>
          <w:rFonts w:cs="Arial"/>
          <w:bCs/>
          <w:szCs w:val="22"/>
        </w:rPr>
        <w:t xml:space="preserve"> </w:t>
      </w:r>
    </w:p>
    <w:p>
      <w:pPr>
        <w:rPr>
          <w:rFonts w:cs="Arial"/>
          <w:bCs/>
          <w:szCs w:val="22"/>
        </w:rPr>
      </w:pPr>
    </w:p>
    <w:p>
      <w:pPr>
        <w:ind w:firstLine="709"/>
        <w:rPr>
          <w:rFonts w:cs="Arial"/>
          <w:bCs/>
          <w:szCs w:val="22"/>
        </w:rPr>
      </w:pPr>
      <w:r>
        <w:rPr>
          <w:rFonts w:cs="Arial"/>
          <w:bCs/>
          <w:szCs w:val="22"/>
        </w:rPr>
        <w:t>A partir do exercício de 2016, o cálculo da depreciação passou a ser realizado de acordo com a vida útil estimada dos bens, tendo como base a avaliação dos bens realizada por empresa contratada.</w:t>
      </w:r>
    </w:p>
    <w:p>
      <w:pPr>
        <w:pStyle w:val="WW-Recuodecorpodetexto2"/>
        <w:tabs>
          <w:tab w:val="left" w:pos="567"/>
        </w:tabs>
        <w:rPr>
          <w:b/>
          <w:bCs/>
          <w:szCs w:val="22"/>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trPr>
          <w:gridAfter w:val="1"/>
          <w:wAfter w:w="63" w:type="dxa"/>
          <w:trHeight w:val="409"/>
        </w:trPr>
        <w:tc>
          <w:tcPr>
            <w:tcW w:w="7567" w:type="dxa"/>
          </w:tcPr>
          <w:p>
            <w:pPr>
              <w:autoSpaceDE w:val="0"/>
              <w:snapToGrid w:val="0"/>
              <w:rPr>
                <w:rFonts w:cs="Arial"/>
                <w:szCs w:val="22"/>
              </w:rPr>
            </w:pPr>
            <w:r>
              <w:rPr>
                <w:rFonts w:cs="Arial"/>
                <w:b/>
                <w:bCs/>
              </w:rPr>
              <w:t>DEMONSTRAÇÃO DA MUTAÇÃO DO IMOBILIZADO</w:t>
            </w:r>
          </w:p>
        </w:tc>
        <w:tc>
          <w:tcPr>
            <w:tcW w:w="2126" w:type="dxa"/>
            <w:gridSpan w:val="2"/>
            <w:vAlign w:val="center"/>
          </w:tcPr>
          <w:p>
            <w:pPr>
              <w:pBdr>
                <w:bottom w:val="single" w:sz="4" w:space="1" w:color="000000"/>
              </w:pBdr>
              <w:autoSpaceDE w:val="0"/>
              <w:snapToGrid w:val="0"/>
              <w:ind w:right="-54"/>
              <w:jc w:val="right"/>
              <w:rPr>
                <w:rFonts w:cs="Arial"/>
                <w:b/>
                <w:bCs/>
                <w:szCs w:val="22"/>
              </w:rPr>
            </w:pPr>
            <w:r>
              <w:rPr>
                <w:rFonts w:cs="Arial"/>
                <w:b/>
                <w:bCs/>
                <w:szCs w:val="22"/>
              </w:rPr>
              <w:t>31.03.2020</w:t>
            </w:r>
          </w:p>
        </w:tc>
      </w:tr>
      <w:tr>
        <w:trPr>
          <w:gridAfter w:val="1"/>
          <w:wAfter w:w="63" w:type="dxa"/>
          <w:cantSplit/>
          <w:trHeight w:val="284"/>
        </w:trPr>
        <w:tc>
          <w:tcPr>
            <w:tcW w:w="7567" w:type="dxa"/>
            <w:vAlign w:val="center"/>
          </w:tcPr>
          <w:p>
            <w:pPr>
              <w:autoSpaceDE w:val="0"/>
              <w:snapToGrid w:val="0"/>
              <w:rPr>
                <w:rFonts w:cs="Arial"/>
                <w:szCs w:val="22"/>
              </w:rPr>
            </w:pPr>
            <w:r>
              <w:rPr>
                <w:rFonts w:cs="Arial"/>
                <w:szCs w:val="22"/>
              </w:rPr>
              <w:t xml:space="preserve"> Saldo em 31.12.2019</w:t>
            </w:r>
          </w:p>
        </w:tc>
        <w:tc>
          <w:tcPr>
            <w:tcW w:w="2126" w:type="dxa"/>
            <w:gridSpan w:val="2"/>
            <w:vAlign w:val="center"/>
          </w:tcPr>
          <w:p>
            <w:pPr>
              <w:autoSpaceDE w:val="0"/>
              <w:snapToGrid w:val="0"/>
              <w:jc w:val="right"/>
              <w:rPr>
                <w:rFonts w:cs="Arial"/>
              </w:rPr>
            </w:pPr>
            <w:r>
              <w:rPr>
                <w:rFonts w:cs="Arial"/>
              </w:rPr>
              <w:t>207.490</w:t>
            </w:r>
          </w:p>
        </w:tc>
      </w:tr>
      <w:tr>
        <w:trPr>
          <w:gridAfter w:val="1"/>
          <w:wAfter w:w="63" w:type="dxa"/>
          <w:cantSplit/>
          <w:trHeight w:val="284"/>
        </w:trPr>
        <w:tc>
          <w:tcPr>
            <w:tcW w:w="7567" w:type="dxa"/>
            <w:vAlign w:val="center"/>
          </w:tcPr>
          <w:p>
            <w:pPr>
              <w:autoSpaceDE w:val="0"/>
              <w:snapToGrid w:val="0"/>
              <w:rPr>
                <w:rFonts w:cs="Arial"/>
                <w:szCs w:val="22"/>
              </w:rPr>
            </w:pPr>
            <w:proofErr w:type="gramStart"/>
            <w:r>
              <w:rPr>
                <w:rFonts w:cs="Arial"/>
                <w:szCs w:val="22"/>
              </w:rPr>
              <w:t>( +</w:t>
            </w:r>
            <w:proofErr w:type="gramEnd"/>
            <w:r>
              <w:rPr>
                <w:rFonts w:cs="Arial"/>
                <w:szCs w:val="22"/>
              </w:rPr>
              <w:t xml:space="preserve"> ) Aquisições ocorridas no período</w:t>
            </w:r>
          </w:p>
        </w:tc>
        <w:tc>
          <w:tcPr>
            <w:tcW w:w="2126" w:type="dxa"/>
            <w:gridSpan w:val="2"/>
            <w:vAlign w:val="center"/>
          </w:tcPr>
          <w:p>
            <w:pPr>
              <w:autoSpaceDE w:val="0"/>
              <w:snapToGrid w:val="0"/>
              <w:jc w:val="right"/>
              <w:rPr>
                <w:rFonts w:cs="Arial"/>
              </w:rPr>
            </w:pPr>
            <w:r>
              <w:rPr>
                <w:rFonts w:cs="Arial"/>
              </w:rPr>
              <w:t>43</w:t>
            </w:r>
          </w:p>
        </w:tc>
      </w:tr>
      <w:tr>
        <w:trPr>
          <w:gridAfter w:val="1"/>
          <w:wAfter w:w="63" w:type="dxa"/>
          <w:cantSplit/>
          <w:trHeight w:val="284"/>
        </w:trPr>
        <w:tc>
          <w:tcPr>
            <w:tcW w:w="7567" w:type="dxa"/>
            <w:vAlign w:val="center"/>
          </w:tcPr>
          <w:p>
            <w:pPr>
              <w:autoSpaceDE w:val="0"/>
              <w:snapToGrid w:val="0"/>
              <w:rPr>
                <w:rFonts w:cs="Arial"/>
                <w:szCs w:val="22"/>
              </w:rPr>
            </w:pPr>
            <w:proofErr w:type="gramStart"/>
            <w:r>
              <w:rPr>
                <w:rFonts w:cs="Arial"/>
                <w:szCs w:val="22"/>
              </w:rPr>
              <w:t>( -</w:t>
            </w:r>
            <w:proofErr w:type="gramEnd"/>
            <w:r>
              <w:rPr>
                <w:rFonts w:cs="Arial"/>
                <w:szCs w:val="22"/>
              </w:rPr>
              <w:t xml:space="preserve"> ) Baixas de bens</w:t>
            </w:r>
          </w:p>
        </w:tc>
        <w:tc>
          <w:tcPr>
            <w:tcW w:w="2126" w:type="dxa"/>
            <w:gridSpan w:val="2"/>
            <w:vAlign w:val="center"/>
          </w:tcPr>
          <w:p>
            <w:pPr>
              <w:autoSpaceDE w:val="0"/>
              <w:snapToGrid w:val="0"/>
              <w:jc w:val="right"/>
              <w:rPr>
                <w:rFonts w:cs="Arial"/>
              </w:rPr>
            </w:pPr>
            <w:r>
              <w:rPr>
                <w:rFonts w:cs="Arial"/>
              </w:rPr>
              <w:t>(4)</w:t>
            </w:r>
          </w:p>
        </w:tc>
      </w:tr>
      <w:tr>
        <w:trPr>
          <w:gridAfter w:val="1"/>
          <w:wAfter w:w="63" w:type="dxa"/>
          <w:cantSplit/>
          <w:trHeight w:val="284"/>
        </w:trPr>
        <w:tc>
          <w:tcPr>
            <w:tcW w:w="7567" w:type="dxa"/>
          </w:tcPr>
          <w:p>
            <w:pPr>
              <w:autoSpaceDE w:val="0"/>
              <w:snapToGrid w:val="0"/>
              <w:rPr>
                <w:rFonts w:cs="Arial"/>
                <w:szCs w:val="22"/>
              </w:rPr>
            </w:pPr>
            <w:proofErr w:type="gramStart"/>
            <w:r>
              <w:rPr>
                <w:rFonts w:cs="Arial"/>
                <w:szCs w:val="22"/>
              </w:rPr>
              <w:t>( -</w:t>
            </w:r>
            <w:proofErr w:type="gramEnd"/>
            <w:r>
              <w:rPr>
                <w:rFonts w:cs="Arial"/>
                <w:szCs w:val="22"/>
              </w:rPr>
              <w:t xml:space="preserve"> ) Depreciações</w:t>
            </w:r>
          </w:p>
        </w:tc>
        <w:tc>
          <w:tcPr>
            <w:tcW w:w="2126" w:type="dxa"/>
            <w:gridSpan w:val="2"/>
            <w:vAlign w:val="center"/>
          </w:tcPr>
          <w:p>
            <w:pPr>
              <w:autoSpaceDE w:val="0"/>
              <w:snapToGrid w:val="0"/>
              <w:jc w:val="right"/>
              <w:rPr>
                <w:rFonts w:cs="Arial"/>
              </w:rPr>
            </w:pPr>
            <w:r>
              <w:rPr>
                <w:rFonts w:cs="Arial"/>
              </w:rPr>
              <w:t>(1.807)</w:t>
            </w:r>
          </w:p>
        </w:tc>
      </w:tr>
      <w:tr>
        <w:trPr>
          <w:gridAfter w:val="1"/>
          <w:wAfter w:w="63" w:type="dxa"/>
          <w:cantSplit/>
          <w:trHeight w:val="284"/>
        </w:trPr>
        <w:tc>
          <w:tcPr>
            <w:tcW w:w="7567" w:type="dxa"/>
          </w:tcPr>
          <w:p>
            <w:pPr>
              <w:autoSpaceDE w:val="0"/>
              <w:snapToGrid w:val="0"/>
              <w:rPr>
                <w:rFonts w:cs="Arial"/>
                <w:szCs w:val="22"/>
              </w:rPr>
            </w:pPr>
            <w:proofErr w:type="gramStart"/>
            <w:r>
              <w:rPr>
                <w:rFonts w:cs="Arial"/>
                <w:szCs w:val="22"/>
              </w:rPr>
              <w:t>( +</w:t>
            </w:r>
            <w:proofErr w:type="gramEnd"/>
            <w:r>
              <w:rPr>
                <w:rFonts w:cs="Arial"/>
                <w:szCs w:val="22"/>
              </w:rPr>
              <w:t xml:space="preserve"> ) Baixas de depreciações</w:t>
            </w:r>
          </w:p>
        </w:tc>
        <w:tc>
          <w:tcPr>
            <w:tcW w:w="2126" w:type="dxa"/>
            <w:gridSpan w:val="2"/>
            <w:vAlign w:val="center"/>
          </w:tcPr>
          <w:p>
            <w:pPr>
              <w:autoSpaceDE w:val="0"/>
              <w:snapToGrid w:val="0"/>
              <w:jc w:val="right"/>
              <w:rPr>
                <w:rFonts w:cs="Arial"/>
              </w:rPr>
            </w:pPr>
            <w:r>
              <w:rPr>
                <w:rFonts w:cs="Arial"/>
              </w:rPr>
              <w:t>3</w:t>
            </w:r>
          </w:p>
        </w:tc>
      </w:tr>
      <w:tr>
        <w:trPr>
          <w:trHeight w:val="316"/>
        </w:trPr>
        <w:tc>
          <w:tcPr>
            <w:tcW w:w="7938" w:type="dxa"/>
            <w:gridSpan w:val="2"/>
          </w:tcPr>
          <w:p>
            <w:pPr>
              <w:autoSpaceDE w:val="0"/>
              <w:snapToGrid w:val="0"/>
              <w:rPr>
                <w:rFonts w:cs="Arial"/>
                <w:szCs w:val="22"/>
              </w:rPr>
            </w:pPr>
            <w:r>
              <w:rPr>
                <w:rFonts w:cs="Arial"/>
                <w:szCs w:val="22"/>
              </w:rPr>
              <w:t xml:space="preserve"> Saldo final em 31.03.2020</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205.725</w:t>
            </w:r>
          </w:p>
        </w:tc>
      </w:tr>
    </w:tbl>
    <w:p>
      <w:pPr>
        <w:pStyle w:val="WW-Recuodecorpodetexto2"/>
        <w:tabs>
          <w:tab w:val="left" w:pos="567"/>
        </w:tabs>
        <w:rPr>
          <w:b/>
          <w:bCs/>
          <w:szCs w:val="22"/>
        </w:rPr>
      </w:pPr>
      <w:bookmarkStart w:id="77" w:name="_15._INTANGÍVEL"/>
      <w:bookmarkEnd w:id="77"/>
    </w:p>
    <w:p>
      <w:pPr>
        <w:pStyle w:val="WW-Recuodecorpodetexto2"/>
        <w:tabs>
          <w:tab w:val="left" w:pos="567"/>
        </w:tabs>
        <w:rPr>
          <w:b/>
          <w:bCs/>
          <w:szCs w:val="22"/>
        </w:rPr>
      </w:pPr>
    </w:p>
    <w:p>
      <w:pPr>
        <w:pStyle w:val="WW-Recuodecorpodetexto2"/>
        <w:tabs>
          <w:tab w:val="left" w:pos="567"/>
        </w:tabs>
        <w:rPr>
          <w:b/>
          <w:bCs/>
          <w:szCs w:val="22"/>
        </w:rPr>
      </w:pPr>
    </w:p>
    <w:p>
      <w:pPr>
        <w:pStyle w:val="Ttulo1"/>
        <w:rPr>
          <w:bCs/>
        </w:rPr>
      </w:pPr>
      <w:bookmarkStart w:id="78" w:name="_15._INTANGÍVEL_1"/>
      <w:bookmarkStart w:id="79" w:name="_Toc41376123"/>
      <w:bookmarkEnd w:id="78"/>
      <w:r>
        <w:t>15.</w:t>
      </w:r>
      <w:r>
        <w:tab/>
        <w:t>INTANGÍVEL</w:t>
      </w:r>
      <w:bookmarkEnd w:id="79"/>
    </w:p>
    <w:tbl>
      <w:tblPr>
        <w:tblW w:w="9756" w:type="dxa"/>
        <w:tblLayout w:type="fixed"/>
        <w:tblCellMar>
          <w:left w:w="54" w:type="dxa"/>
          <w:right w:w="54" w:type="dxa"/>
        </w:tblCellMar>
        <w:tblLook w:val="0000" w:firstRow="0" w:lastRow="0" w:firstColumn="0" w:lastColumn="0" w:noHBand="0" w:noVBand="0"/>
      </w:tblPr>
      <w:tblGrid>
        <w:gridCol w:w="3051"/>
        <w:gridCol w:w="1675"/>
        <w:gridCol w:w="1141"/>
        <w:gridCol w:w="1413"/>
        <w:gridCol w:w="974"/>
        <w:gridCol w:w="1502"/>
      </w:tblGrid>
      <w:tr>
        <w:trPr>
          <w:trHeight w:val="227"/>
        </w:trPr>
        <w:tc>
          <w:tcPr>
            <w:tcW w:w="3031" w:type="dxa"/>
            <w:vAlign w:val="bottom"/>
          </w:tcPr>
          <w:p>
            <w:pPr>
              <w:pStyle w:val="Ttulo1"/>
              <w:rPr>
                <w:szCs w:val="22"/>
              </w:rPr>
            </w:pPr>
          </w:p>
        </w:tc>
        <w:tc>
          <w:tcPr>
            <w:tcW w:w="1664" w:type="dxa"/>
            <w:vMerge w:val="restart"/>
            <w:vAlign w:val="bottom"/>
          </w:tcPr>
          <w:p>
            <w:pPr>
              <w:autoSpaceDE w:val="0"/>
              <w:snapToGrid w:val="0"/>
              <w:rPr>
                <w:rFonts w:cs="Arial"/>
                <w:b/>
                <w:bCs/>
              </w:rPr>
            </w:pPr>
          </w:p>
        </w:tc>
        <w:tc>
          <w:tcPr>
            <w:tcW w:w="3506" w:type="dxa"/>
            <w:gridSpan w:val="3"/>
            <w:vAlign w:val="bottom"/>
          </w:tcPr>
          <w:p>
            <w:pPr>
              <w:pBdr>
                <w:bottom w:val="single" w:sz="4" w:space="1" w:color="000000"/>
              </w:pBdr>
              <w:autoSpaceDE w:val="0"/>
              <w:snapToGrid w:val="0"/>
              <w:jc w:val="center"/>
              <w:rPr>
                <w:rFonts w:cs="Arial"/>
                <w:b/>
                <w:bCs/>
              </w:rPr>
            </w:pPr>
            <w:r>
              <w:rPr>
                <w:rFonts w:cs="Arial"/>
                <w:b/>
                <w:bCs/>
                <w:szCs w:val="22"/>
              </w:rPr>
              <w:t>31.03.2020</w:t>
            </w:r>
          </w:p>
        </w:tc>
        <w:tc>
          <w:tcPr>
            <w:tcW w:w="1492" w:type="dxa"/>
            <w:tcBorders>
              <w:left w:val="nil"/>
            </w:tcBorders>
            <w:vAlign w:val="bottom"/>
          </w:tcPr>
          <w:p>
            <w:pPr>
              <w:pBdr>
                <w:bottom w:val="single" w:sz="4" w:space="1" w:color="000000"/>
              </w:pBdr>
              <w:autoSpaceDE w:val="0"/>
              <w:snapToGrid w:val="0"/>
              <w:ind w:right="-54"/>
              <w:jc w:val="right"/>
              <w:rPr>
                <w:rFonts w:cs="Arial"/>
                <w:b/>
                <w:bCs/>
              </w:rPr>
            </w:pPr>
            <w:r>
              <w:rPr>
                <w:rFonts w:cs="Arial"/>
                <w:b/>
                <w:bCs/>
              </w:rPr>
              <w:t>31.12.2019</w:t>
            </w:r>
          </w:p>
        </w:tc>
      </w:tr>
      <w:tr>
        <w:trPr>
          <w:trHeight w:val="486"/>
        </w:trPr>
        <w:tc>
          <w:tcPr>
            <w:tcW w:w="3031" w:type="dxa"/>
            <w:vAlign w:val="bottom"/>
          </w:tcPr>
          <w:p>
            <w:pPr>
              <w:autoSpaceDE w:val="0"/>
              <w:snapToGrid w:val="0"/>
              <w:rPr>
                <w:rFonts w:cs="Arial"/>
                <w:b/>
                <w:bCs/>
                <w:sz w:val="20"/>
              </w:rPr>
            </w:pPr>
          </w:p>
        </w:tc>
        <w:tc>
          <w:tcPr>
            <w:tcW w:w="1664" w:type="dxa"/>
            <w:vMerge/>
          </w:tcPr>
          <w:p>
            <w:pPr>
              <w:pBdr>
                <w:bottom w:val="single" w:sz="4" w:space="1" w:color="000000"/>
              </w:pBdr>
              <w:autoSpaceDE w:val="0"/>
              <w:snapToGrid w:val="0"/>
              <w:jc w:val="center"/>
              <w:rPr>
                <w:rFonts w:cs="Arial"/>
                <w:b/>
                <w:bCs/>
                <w:sz w:val="20"/>
              </w:rPr>
            </w:pPr>
          </w:p>
        </w:tc>
        <w:tc>
          <w:tcPr>
            <w:tcW w:w="1134" w:type="dxa"/>
            <w:vAlign w:val="bottom"/>
          </w:tcPr>
          <w:p>
            <w:pPr>
              <w:pBdr>
                <w:bottom w:val="single" w:sz="4" w:space="1" w:color="000000"/>
              </w:pBdr>
              <w:autoSpaceDE w:val="0"/>
              <w:snapToGrid w:val="0"/>
              <w:jc w:val="right"/>
              <w:rPr>
                <w:rFonts w:cs="Arial"/>
                <w:b/>
                <w:bCs/>
                <w:sz w:val="20"/>
              </w:rPr>
            </w:pPr>
            <w:r>
              <w:rPr>
                <w:rFonts w:cs="Arial"/>
                <w:b/>
                <w:bCs/>
                <w:sz w:val="20"/>
              </w:rPr>
              <w:t xml:space="preserve">Custo </w:t>
            </w:r>
          </w:p>
        </w:tc>
        <w:tc>
          <w:tcPr>
            <w:tcW w:w="1404" w:type="dxa"/>
            <w:vAlign w:val="bottom"/>
          </w:tcPr>
          <w:p>
            <w:pPr>
              <w:pBdr>
                <w:bottom w:val="single" w:sz="4" w:space="1" w:color="000000"/>
              </w:pBdr>
              <w:autoSpaceDE w:val="0"/>
              <w:snapToGrid w:val="0"/>
              <w:jc w:val="right"/>
              <w:rPr>
                <w:rFonts w:cs="Arial"/>
                <w:b/>
                <w:bCs/>
                <w:sz w:val="20"/>
              </w:rPr>
            </w:pPr>
            <w:r>
              <w:rPr>
                <w:rFonts w:cs="Arial"/>
                <w:b/>
                <w:bCs/>
                <w:sz w:val="20"/>
              </w:rPr>
              <w:t>Amortização acumulada</w:t>
            </w:r>
          </w:p>
        </w:tc>
        <w:tc>
          <w:tcPr>
            <w:tcW w:w="968" w:type="dxa"/>
            <w:vAlign w:val="bottom"/>
          </w:tcPr>
          <w:p>
            <w:pPr>
              <w:pBdr>
                <w:bottom w:val="single" w:sz="4" w:space="1" w:color="000000"/>
              </w:pBdr>
              <w:autoSpaceDE w:val="0"/>
              <w:snapToGrid w:val="0"/>
              <w:jc w:val="right"/>
              <w:rPr>
                <w:rFonts w:cs="Arial"/>
                <w:b/>
                <w:bCs/>
                <w:sz w:val="20"/>
              </w:rPr>
            </w:pPr>
            <w:r>
              <w:rPr>
                <w:rFonts w:cs="Arial"/>
                <w:b/>
                <w:bCs/>
                <w:sz w:val="20"/>
              </w:rPr>
              <w:t>Valor líquido</w:t>
            </w:r>
          </w:p>
        </w:tc>
        <w:tc>
          <w:tcPr>
            <w:tcW w:w="1492" w:type="dxa"/>
            <w:vAlign w:val="bottom"/>
          </w:tcPr>
          <w:p>
            <w:pPr>
              <w:pBdr>
                <w:bottom w:val="single" w:sz="4" w:space="1" w:color="000000"/>
              </w:pBdr>
              <w:autoSpaceDE w:val="0"/>
              <w:snapToGrid w:val="0"/>
              <w:ind w:right="-54"/>
              <w:jc w:val="right"/>
              <w:rPr>
                <w:rFonts w:cs="Arial"/>
                <w:b/>
                <w:bCs/>
                <w:sz w:val="20"/>
              </w:rPr>
            </w:pPr>
            <w:r>
              <w:rPr>
                <w:rFonts w:cs="Arial"/>
                <w:b/>
                <w:bCs/>
                <w:sz w:val="20"/>
              </w:rPr>
              <w:t>Valor líquido</w:t>
            </w:r>
          </w:p>
        </w:tc>
      </w:tr>
      <w:tr>
        <w:trPr>
          <w:trHeight w:val="72"/>
        </w:trPr>
        <w:tc>
          <w:tcPr>
            <w:tcW w:w="3031" w:type="dxa"/>
            <w:vAlign w:val="bottom"/>
          </w:tcPr>
          <w:p>
            <w:pPr>
              <w:autoSpaceDE w:val="0"/>
              <w:snapToGrid w:val="0"/>
              <w:rPr>
                <w:rFonts w:cs="Arial"/>
                <w:b/>
                <w:bCs/>
                <w:sz w:val="20"/>
              </w:rPr>
            </w:pPr>
          </w:p>
        </w:tc>
        <w:tc>
          <w:tcPr>
            <w:tcW w:w="1664" w:type="dxa"/>
            <w:vMerge/>
          </w:tcPr>
          <w:p>
            <w:pPr>
              <w:autoSpaceDE w:val="0"/>
              <w:snapToGrid w:val="0"/>
              <w:jc w:val="right"/>
              <w:rPr>
                <w:rFonts w:cs="Arial"/>
                <w:sz w:val="20"/>
              </w:rPr>
            </w:pPr>
          </w:p>
        </w:tc>
        <w:tc>
          <w:tcPr>
            <w:tcW w:w="1134" w:type="dxa"/>
            <w:vAlign w:val="bottom"/>
          </w:tcPr>
          <w:p>
            <w:pPr>
              <w:autoSpaceDE w:val="0"/>
              <w:snapToGrid w:val="0"/>
              <w:jc w:val="right"/>
              <w:rPr>
                <w:rFonts w:cs="Arial"/>
                <w:sz w:val="20"/>
              </w:rPr>
            </w:pPr>
          </w:p>
        </w:tc>
        <w:tc>
          <w:tcPr>
            <w:tcW w:w="1404" w:type="dxa"/>
            <w:vAlign w:val="bottom"/>
          </w:tcPr>
          <w:p>
            <w:pPr>
              <w:autoSpaceDE w:val="0"/>
              <w:snapToGrid w:val="0"/>
              <w:jc w:val="right"/>
              <w:rPr>
                <w:rFonts w:cs="Arial"/>
                <w:sz w:val="20"/>
              </w:rPr>
            </w:pPr>
          </w:p>
        </w:tc>
        <w:tc>
          <w:tcPr>
            <w:tcW w:w="968" w:type="dxa"/>
            <w:vAlign w:val="bottom"/>
          </w:tcPr>
          <w:p>
            <w:pPr>
              <w:autoSpaceDE w:val="0"/>
              <w:snapToGrid w:val="0"/>
              <w:jc w:val="right"/>
              <w:rPr>
                <w:rFonts w:cs="Arial"/>
                <w:sz w:val="20"/>
              </w:rPr>
            </w:pPr>
          </w:p>
        </w:tc>
        <w:tc>
          <w:tcPr>
            <w:tcW w:w="1492" w:type="dxa"/>
            <w:vAlign w:val="bottom"/>
          </w:tcPr>
          <w:p>
            <w:pPr>
              <w:autoSpaceDE w:val="0"/>
              <w:snapToGrid w:val="0"/>
              <w:ind w:right="-54"/>
              <w:jc w:val="right"/>
              <w:rPr>
                <w:rFonts w:cs="Arial"/>
                <w:sz w:val="20"/>
              </w:rPr>
            </w:pPr>
          </w:p>
        </w:tc>
      </w:tr>
      <w:tr>
        <w:trPr>
          <w:trHeight w:val="284"/>
        </w:trPr>
        <w:tc>
          <w:tcPr>
            <w:tcW w:w="3031" w:type="dxa"/>
            <w:vAlign w:val="bottom"/>
          </w:tcPr>
          <w:p>
            <w:pPr>
              <w:autoSpaceDE w:val="0"/>
              <w:snapToGrid w:val="0"/>
              <w:rPr>
                <w:rFonts w:cs="Arial"/>
              </w:rPr>
            </w:pPr>
            <w:r>
              <w:rPr>
                <w:rFonts w:cs="Arial"/>
              </w:rPr>
              <w:t>Direitos de Propriedades</w:t>
            </w:r>
          </w:p>
        </w:tc>
        <w:tc>
          <w:tcPr>
            <w:tcW w:w="1664" w:type="dxa"/>
            <w:vMerge/>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4.770</w:t>
            </w:r>
          </w:p>
        </w:tc>
        <w:tc>
          <w:tcPr>
            <w:tcW w:w="1404" w:type="dxa"/>
            <w:vAlign w:val="bottom"/>
          </w:tcPr>
          <w:p>
            <w:pPr>
              <w:autoSpaceDE w:val="0"/>
              <w:snapToGrid w:val="0"/>
              <w:jc w:val="right"/>
              <w:rPr>
                <w:rFonts w:cs="Arial"/>
              </w:rPr>
            </w:pPr>
            <w:r>
              <w:rPr>
                <w:rFonts w:cs="Arial"/>
              </w:rPr>
              <w:t>(4.344)</w:t>
            </w:r>
          </w:p>
        </w:tc>
        <w:tc>
          <w:tcPr>
            <w:tcW w:w="968" w:type="dxa"/>
            <w:vAlign w:val="bottom"/>
          </w:tcPr>
          <w:p>
            <w:pPr>
              <w:autoSpaceDE w:val="0"/>
              <w:snapToGrid w:val="0"/>
              <w:jc w:val="right"/>
              <w:rPr>
                <w:rFonts w:cs="Arial"/>
              </w:rPr>
            </w:pPr>
            <w:r>
              <w:rPr>
                <w:rFonts w:cs="Arial"/>
              </w:rPr>
              <w:t>426</w:t>
            </w:r>
          </w:p>
        </w:tc>
        <w:tc>
          <w:tcPr>
            <w:tcW w:w="1492" w:type="dxa"/>
            <w:vAlign w:val="bottom"/>
          </w:tcPr>
          <w:p>
            <w:pPr>
              <w:autoSpaceDE w:val="0"/>
              <w:snapToGrid w:val="0"/>
              <w:jc w:val="right"/>
              <w:rPr>
                <w:rFonts w:cs="Arial"/>
              </w:rPr>
            </w:pPr>
            <w:r>
              <w:rPr>
                <w:rFonts w:cs="Arial"/>
              </w:rPr>
              <w:t>476</w:t>
            </w:r>
          </w:p>
        </w:tc>
      </w:tr>
      <w:tr>
        <w:trPr>
          <w:trHeight w:val="284"/>
        </w:trPr>
        <w:tc>
          <w:tcPr>
            <w:tcW w:w="3031" w:type="dxa"/>
            <w:vAlign w:val="bottom"/>
          </w:tcPr>
          <w:p>
            <w:pPr>
              <w:autoSpaceDE w:val="0"/>
              <w:snapToGrid w:val="0"/>
              <w:rPr>
                <w:rFonts w:cs="Arial"/>
              </w:rPr>
            </w:pPr>
            <w:r>
              <w:rPr>
                <w:rFonts w:cs="Arial"/>
              </w:rPr>
              <w:t>Marcas e Patentes</w:t>
            </w:r>
          </w:p>
        </w:tc>
        <w:tc>
          <w:tcPr>
            <w:tcW w:w="1664" w:type="dxa"/>
            <w:vMerge/>
            <w:vAlign w:val="bottom"/>
          </w:tcPr>
          <w:p>
            <w:pPr>
              <w:autoSpaceDE w:val="0"/>
              <w:snapToGrid w:val="0"/>
              <w:jc w:val="right"/>
              <w:rPr>
                <w:rFonts w:cs="Arial"/>
                <w:sz w:val="20"/>
              </w:rPr>
            </w:pPr>
          </w:p>
        </w:tc>
        <w:tc>
          <w:tcPr>
            <w:tcW w:w="1134" w:type="dxa"/>
            <w:vAlign w:val="bottom"/>
          </w:tcPr>
          <w:p>
            <w:pPr>
              <w:autoSpaceDE w:val="0"/>
              <w:snapToGrid w:val="0"/>
              <w:jc w:val="right"/>
              <w:rPr>
                <w:rFonts w:cs="Arial"/>
              </w:rPr>
            </w:pPr>
            <w:r>
              <w:rPr>
                <w:rFonts w:cs="Arial"/>
              </w:rPr>
              <w:t>37</w:t>
            </w:r>
          </w:p>
        </w:tc>
        <w:tc>
          <w:tcPr>
            <w:tcW w:w="1404" w:type="dxa"/>
            <w:vAlign w:val="bottom"/>
          </w:tcPr>
          <w:p>
            <w:pPr>
              <w:autoSpaceDE w:val="0"/>
              <w:snapToGrid w:val="0"/>
              <w:jc w:val="right"/>
              <w:rPr>
                <w:rFonts w:cs="Arial"/>
              </w:rPr>
            </w:pPr>
            <w:r>
              <w:rPr>
                <w:rFonts w:cs="Arial"/>
              </w:rPr>
              <w:t>(37)</w:t>
            </w:r>
          </w:p>
        </w:tc>
        <w:tc>
          <w:tcPr>
            <w:tcW w:w="968" w:type="dxa"/>
            <w:vAlign w:val="bottom"/>
          </w:tcPr>
          <w:p>
            <w:pPr>
              <w:autoSpaceDE w:val="0"/>
              <w:snapToGrid w:val="0"/>
              <w:jc w:val="right"/>
              <w:rPr>
                <w:rFonts w:cs="Arial"/>
              </w:rPr>
            </w:pPr>
            <w:r>
              <w:rPr>
                <w:rFonts w:cs="Arial"/>
              </w:rPr>
              <w:t>-</w:t>
            </w:r>
          </w:p>
        </w:tc>
        <w:tc>
          <w:tcPr>
            <w:tcW w:w="1492" w:type="dxa"/>
            <w:vAlign w:val="bottom"/>
          </w:tcPr>
          <w:p>
            <w:pPr>
              <w:autoSpaceDE w:val="0"/>
              <w:snapToGrid w:val="0"/>
              <w:jc w:val="right"/>
              <w:rPr>
                <w:rFonts w:cs="Arial"/>
              </w:rPr>
            </w:pPr>
            <w:r>
              <w:rPr>
                <w:rFonts w:cs="Arial"/>
              </w:rPr>
              <w:t>-</w:t>
            </w:r>
          </w:p>
        </w:tc>
      </w:tr>
      <w:tr>
        <w:tc>
          <w:tcPr>
            <w:tcW w:w="3031" w:type="dxa"/>
            <w:vAlign w:val="bottom"/>
          </w:tcPr>
          <w:p>
            <w:pPr>
              <w:autoSpaceDE w:val="0"/>
              <w:snapToGrid w:val="0"/>
              <w:rPr>
                <w:rFonts w:cs="Arial"/>
                <w:sz w:val="20"/>
                <w:highlight w:val="yellow"/>
              </w:rPr>
            </w:pPr>
          </w:p>
        </w:tc>
        <w:tc>
          <w:tcPr>
            <w:tcW w:w="1664" w:type="dxa"/>
            <w:vMerge/>
            <w:vAlign w:val="bottom"/>
          </w:tcPr>
          <w:p>
            <w:pPr>
              <w:autoSpaceDE w:val="0"/>
              <w:snapToGrid w:val="0"/>
              <w:jc w:val="right"/>
              <w:rPr>
                <w:rFonts w:cs="Arial"/>
                <w:sz w:val="20"/>
                <w:highlight w:val="yellow"/>
              </w:rPr>
            </w:pPr>
          </w:p>
        </w:tc>
        <w:tc>
          <w:tcPr>
            <w:tcW w:w="1134" w:type="dxa"/>
            <w:vAlign w:val="bottom"/>
          </w:tcPr>
          <w:p>
            <w:pPr>
              <w:pBdr>
                <w:top w:val="single" w:sz="4" w:space="1" w:color="000000"/>
                <w:bottom w:val="double" w:sz="1" w:space="1" w:color="000000"/>
              </w:pBdr>
              <w:autoSpaceDE w:val="0"/>
              <w:snapToGrid w:val="0"/>
              <w:jc w:val="right"/>
              <w:rPr>
                <w:rFonts w:cs="Arial"/>
                <w:b/>
              </w:rPr>
            </w:pPr>
            <w:r>
              <w:rPr>
                <w:rFonts w:cs="Arial"/>
                <w:b/>
              </w:rPr>
              <w:t>4.807</w:t>
            </w:r>
          </w:p>
        </w:tc>
        <w:tc>
          <w:tcPr>
            <w:tcW w:w="1404" w:type="dxa"/>
            <w:vAlign w:val="bottom"/>
          </w:tcPr>
          <w:p>
            <w:pPr>
              <w:pBdr>
                <w:top w:val="single" w:sz="4" w:space="1" w:color="000000"/>
                <w:bottom w:val="double" w:sz="1" w:space="1" w:color="000000"/>
              </w:pBdr>
              <w:autoSpaceDE w:val="0"/>
              <w:snapToGrid w:val="0"/>
              <w:jc w:val="right"/>
              <w:rPr>
                <w:rFonts w:cs="Arial"/>
                <w:b/>
              </w:rPr>
            </w:pPr>
            <w:r>
              <w:rPr>
                <w:rFonts w:cs="Arial"/>
                <w:b/>
              </w:rPr>
              <w:t>(4.381)</w:t>
            </w:r>
          </w:p>
        </w:tc>
        <w:tc>
          <w:tcPr>
            <w:tcW w:w="968" w:type="dxa"/>
            <w:vAlign w:val="bottom"/>
          </w:tcPr>
          <w:p>
            <w:pPr>
              <w:pBdr>
                <w:top w:val="single" w:sz="4" w:space="1" w:color="000000"/>
                <w:bottom w:val="double" w:sz="1" w:space="1" w:color="000000"/>
              </w:pBdr>
              <w:autoSpaceDE w:val="0"/>
              <w:snapToGrid w:val="0"/>
              <w:jc w:val="right"/>
              <w:rPr>
                <w:rFonts w:cs="Arial"/>
                <w:b/>
              </w:rPr>
            </w:pPr>
            <w:r>
              <w:rPr>
                <w:rFonts w:cs="Arial"/>
                <w:b/>
              </w:rPr>
              <w:t>426</w:t>
            </w:r>
          </w:p>
        </w:tc>
        <w:tc>
          <w:tcPr>
            <w:tcW w:w="1492" w:type="dxa"/>
            <w:vAlign w:val="bottom"/>
          </w:tcPr>
          <w:p>
            <w:pPr>
              <w:pBdr>
                <w:top w:val="single" w:sz="4" w:space="1" w:color="000000"/>
                <w:bottom w:val="double" w:sz="1" w:space="1" w:color="000000"/>
              </w:pBdr>
              <w:autoSpaceDE w:val="0"/>
              <w:snapToGrid w:val="0"/>
              <w:jc w:val="right"/>
              <w:rPr>
                <w:rFonts w:cs="Arial"/>
                <w:b/>
              </w:rPr>
            </w:pPr>
            <w:r>
              <w:rPr>
                <w:rFonts w:cs="Arial"/>
                <w:b/>
              </w:rPr>
              <w:t>476</w:t>
            </w:r>
          </w:p>
        </w:tc>
      </w:tr>
    </w:tbl>
    <w:p>
      <w:pPr>
        <w:pStyle w:val="WW-Recuodecorpodetexto2"/>
        <w:tabs>
          <w:tab w:val="left" w:pos="567"/>
        </w:tabs>
        <w:rPr>
          <w:b/>
          <w:bCs/>
          <w:szCs w:val="22"/>
        </w:rPr>
      </w:pPr>
    </w:p>
    <w:p>
      <w:pPr>
        <w:pStyle w:val="WW-Recuodecorpodetexto2"/>
        <w:tabs>
          <w:tab w:val="left" w:pos="567"/>
        </w:tabs>
        <w:rPr>
          <w:b/>
          <w:bCs/>
          <w:szCs w:val="22"/>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trPr>
          <w:gridAfter w:val="1"/>
          <w:wAfter w:w="63" w:type="dxa"/>
          <w:trHeight w:val="409"/>
        </w:trPr>
        <w:tc>
          <w:tcPr>
            <w:tcW w:w="7567" w:type="dxa"/>
          </w:tcPr>
          <w:p>
            <w:pPr>
              <w:autoSpaceDE w:val="0"/>
              <w:snapToGrid w:val="0"/>
              <w:rPr>
                <w:rFonts w:cs="Arial"/>
                <w:szCs w:val="22"/>
              </w:rPr>
            </w:pPr>
            <w:r>
              <w:rPr>
                <w:rFonts w:cs="Arial"/>
                <w:b/>
                <w:bCs/>
              </w:rPr>
              <w:t>DEMONSTRAÇÃO DA MUTAÇÃO DO INTANGÍVEL</w:t>
            </w:r>
          </w:p>
        </w:tc>
        <w:tc>
          <w:tcPr>
            <w:tcW w:w="2126" w:type="dxa"/>
            <w:gridSpan w:val="2"/>
            <w:vAlign w:val="center"/>
          </w:tcPr>
          <w:p>
            <w:pPr>
              <w:pBdr>
                <w:bottom w:val="single" w:sz="4" w:space="1" w:color="000000"/>
              </w:pBdr>
              <w:autoSpaceDE w:val="0"/>
              <w:snapToGrid w:val="0"/>
              <w:ind w:right="-54"/>
              <w:jc w:val="right"/>
              <w:rPr>
                <w:rFonts w:cs="Arial"/>
                <w:b/>
                <w:bCs/>
                <w:szCs w:val="22"/>
              </w:rPr>
            </w:pPr>
            <w:r>
              <w:rPr>
                <w:rFonts w:cs="Arial"/>
                <w:b/>
                <w:bCs/>
                <w:szCs w:val="22"/>
              </w:rPr>
              <w:t>31.03.2020</w:t>
            </w:r>
          </w:p>
        </w:tc>
      </w:tr>
      <w:tr>
        <w:trPr>
          <w:gridAfter w:val="1"/>
          <w:wAfter w:w="63" w:type="dxa"/>
          <w:cantSplit/>
          <w:trHeight w:val="284"/>
        </w:trPr>
        <w:tc>
          <w:tcPr>
            <w:tcW w:w="7567" w:type="dxa"/>
            <w:vAlign w:val="center"/>
          </w:tcPr>
          <w:p>
            <w:pPr>
              <w:autoSpaceDE w:val="0"/>
              <w:snapToGrid w:val="0"/>
              <w:rPr>
                <w:rFonts w:cs="Arial"/>
                <w:szCs w:val="22"/>
              </w:rPr>
            </w:pPr>
            <w:r>
              <w:rPr>
                <w:rFonts w:cs="Arial"/>
                <w:szCs w:val="22"/>
              </w:rPr>
              <w:t>Saldo em 31.12.2019</w:t>
            </w:r>
          </w:p>
        </w:tc>
        <w:tc>
          <w:tcPr>
            <w:tcW w:w="2126" w:type="dxa"/>
            <w:gridSpan w:val="2"/>
            <w:vAlign w:val="center"/>
          </w:tcPr>
          <w:p>
            <w:pPr>
              <w:autoSpaceDE w:val="0"/>
              <w:snapToGrid w:val="0"/>
              <w:jc w:val="right"/>
              <w:rPr>
                <w:rFonts w:cs="Arial"/>
                <w:b/>
                <w:szCs w:val="22"/>
              </w:rPr>
            </w:pPr>
            <w:r>
              <w:rPr>
                <w:rFonts w:cs="Arial"/>
                <w:b/>
                <w:szCs w:val="22"/>
              </w:rPr>
              <w:t>476</w:t>
            </w:r>
          </w:p>
        </w:tc>
      </w:tr>
      <w:tr>
        <w:trPr>
          <w:gridAfter w:val="1"/>
          <w:wAfter w:w="63" w:type="dxa"/>
          <w:cantSplit/>
          <w:trHeight w:val="284"/>
        </w:trPr>
        <w:tc>
          <w:tcPr>
            <w:tcW w:w="7567" w:type="dxa"/>
          </w:tcPr>
          <w:p>
            <w:pPr>
              <w:tabs>
                <w:tab w:val="center" w:pos="3729"/>
              </w:tabs>
              <w:autoSpaceDE w:val="0"/>
              <w:snapToGrid w:val="0"/>
              <w:rPr>
                <w:rFonts w:cs="Arial"/>
                <w:szCs w:val="22"/>
              </w:rPr>
            </w:pPr>
            <w:r>
              <w:rPr>
                <w:rFonts w:cs="Arial"/>
                <w:szCs w:val="22"/>
              </w:rPr>
              <w:t>(-) Amortizações no período</w:t>
            </w:r>
            <w:r>
              <w:rPr>
                <w:rFonts w:cs="Arial"/>
                <w:szCs w:val="22"/>
              </w:rPr>
              <w:tab/>
            </w:r>
          </w:p>
        </w:tc>
        <w:tc>
          <w:tcPr>
            <w:tcW w:w="2126" w:type="dxa"/>
            <w:gridSpan w:val="2"/>
            <w:vAlign w:val="center"/>
          </w:tcPr>
          <w:p>
            <w:pPr>
              <w:autoSpaceDE w:val="0"/>
              <w:snapToGrid w:val="0"/>
              <w:jc w:val="right"/>
              <w:rPr>
                <w:rFonts w:cs="Arial"/>
                <w:szCs w:val="22"/>
              </w:rPr>
            </w:pPr>
            <w:r>
              <w:rPr>
                <w:rFonts w:cs="Arial"/>
                <w:szCs w:val="22"/>
              </w:rPr>
              <w:t>(50)</w:t>
            </w:r>
          </w:p>
        </w:tc>
      </w:tr>
      <w:tr>
        <w:trPr>
          <w:trHeight w:val="316"/>
        </w:trPr>
        <w:tc>
          <w:tcPr>
            <w:tcW w:w="7938" w:type="dxa"/>
            <w:gridSpan w:val="2"/>
          </w:tcPr>
          <w:p>
            <w:pPr>
              <w:autoSpaceDE w:val="0"/>
              <w:snapToGrid w:val="0"/>
              <w:rPr>
                <w:rFonts w:cs="Arial"/>
                <w:szCs w:val="22"/>
              </w:rPr>
            </w:pPr>
            <w:r>
              <w:rPr>
                <w:rFonts w:cs="Arial"/>
                <w:szCs w:val="22"/>
              </w:rPr>
              <w:t>Saldo final em 31.03.2020</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426</w:t>
            </w:r>
          </w:p>
        </w:tc>
      </w:tr>
    </w:tbl>
    <w:p>
      <w:pPr>
        <w:pStyle w:val="WW-Recuodecorpodetexto2"/>
        <w:tabs>
          <w:tab w:val="left" w:pos="567"/>
        </w:tabs>
        <w:rPr>
          <w:b/>
          <w:bCs/>
          <w:szCs w:val="22"/>
        </w:rPr>
      </w:pPr>
    </w:p>
    <w:p>
      <w:pPr>
        <w:pStyle w:val="Ttulo1"/>
        <w:rPr>
          <w:bCs/>
        </w:rPr>
      </w:pPr>
      <w:bookmarkStart w:id="80" w:name="_16._FÉRIAS_E_1"/>
      <w:bookmarkStart w:id="81" w:name="_Toc41376124"/>
      <w:bookmarkEnd w:id="80"/>
      <w:r>
        <w:t>16.</w:t>
      </w:r>
      <w:r>
        <w:tab/>
        <w:t>FÉRIAS E ENCARGOS A PAGAR</w:t>
      </w:r>
      <w:bookmarkEnd w:id="81"/>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tcPr>
          <w:p>
            <w:pPr>
              <w:pStyle w:val="Ttulo1"/>
              <w:rPr>
                <w:szCs w:val="22"/>
              </w:rPr>
            </w:pPr>
            <w:bookmarkStart w:id="82" w:name="_16._FORNECEDORES"/>
            <w:bookmarkStart w:id="83" w:name="_17._FÉRIAS_E"/>
            <w:bookmarkStart w:id="84" w:name="_16._FÉRIAS_E"/>
            <w:bookmarkEnd w:id="82"/>
            <w:bookmarkEnd w:id="83"/>
            <w:bookmarkEnd w:id="84"/>
          </w:p>
        </w:tc>
        <w:tc>
          <w:tcPr>
            <w:tcW w:w="1744"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31.03.2020</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31.12.2019</w:t>
            </w:r>
          </w:p>
        </w:tc>
      </w:tr>
      <w:tr>
        <w:trPr>
          <w:trHeight w:val="284"/>
        </w:trPr>
        <w:tc>
          <w:tcPr>
            <w:tcW w:w="6107" w:type="dxa"/>
            <w:gridSpan w:val="2"/>
          </w:tcPr>
          <w:p>
            <w:pPr>
              <w:autoSpaceDE w:val="0"/>
              <w:snapToGrid w:val="0"/>
              <w:rPr>
                <w:rFonts w:cs="Arial"/>
                <w:szCs w:val="22"/>
              </w:rPr>
            </w:pPr>
            <w:r>
              <w:rPr>
                <w:rFonts w:cs="Arial"/>
                <w:szCs w:val="22"/>
              </w:rPr>
              <w:t>Férias e Gratificações</w:t>
            </w:r>
          </w:p>
        </w:tc>
        <w:tc>
          <w:tcPr>
            <w:tcW w:w="1744" w:type="dxa"/>
          </w:tcPr>
          <w:p>
            <w:pPr>
              <w:autoSpaceDE w:val="0"/>
              <w:snapToGrid w:val="0"/>
              <w:jc w:val="right"/>
              <w:rPr>
                <w:rFonts w:cs="Arial"/>
                <w:szCs w:val="22"/>
              </w:rPr>
            </w:pPr>
            <w:r>
              <w:rPr>
                <w:rFonts w:cs="Arial"/>
                <w:szCs w:val="22"/>
              </w:rPr>
              <w:t>6.751</w:t>
            </w:r>
          </w:p>
        </w:tc>
        <w:tc>
          <w:tcPr>
            <w:tcW w:w="1842" w:type="dxa"/>
            <w:gridSpan w:val="2"/>
          </w:tcPr>
          <w:p>
            <w:pPr>
              <w:autoSpaceDE w:val="0"/>
              <w:snapToGrid w:val="0"/>
              <w:jc w:val="right"/>
              <w:rPr>
                <w:rFonts w:cs="Arial"/>
                <w:szCs w:val="22"/>
              </w:rPr>
            </w:pPr>
            <w:r>
              <w:rPr>
                <w:rFonts w:cs="Arial"/>
                <w:szCs w:val="22"/>
              </w:rPr>
              <w:t>6.159</w:t>
            </w:r>
          </w:p>
        </w:tc>
      </w:tr>
      <w:tr>
        <w:trPr>
          <w:trHeight w:val="284"/>
        </w:trPr>
        <w:tc>
          <w:tcPr>
            <w:tcW w:w="6107" w:type="dxa"/>
            <w:gridSpan w:val="2"/>
          </w:tcPr>
          <w:p>
            <w:pPr>
              <w:autoSpaceDE w:val="0"/>
              <w:snapToGrid w:val="0"/>
              <w:rPr>
                <w:rFonts w:cs="Arial"/>
                <w:szCs w:val="22"/>
              </w:rPr>
            </w:pPr>
            <w:r>
              <w:rPr>
                <w:rFonts w:cs="Arial"/>
                <w:szCs w:val="22"/>
              </w:rPr>
              <w:t xml:space="preserve">Contribuição Social </w:t>
            </w:r>
          </w:p>
        </w:tc>
        <w:tc>
          <w:tcPr>
            <w:tcW w:w="1744" w:type="dxa"/>
          </w:tcPr>
          <w:p>
            <w:pPr>
              <w:autoSpaceDE w:val="0"/>
              <w:snapToGrid w:val="0"/>
              <w:jc w:val="right"/>
              <w:rPr>
                <w:rFonts w:cs="Arial"/>
                <w:szCs w:val="22"/>
              </w:rPr>
            </w:pPr>
            <w:r>
              <w:rPr>
                <w:rFonts w:cs="Arial"/>
                <w:szCs w:val="22"/>
              </w:rPr>
              <w:t>2.552</w:t>
            </w:r>
          </w:p>
        </w:tc>
        <w:tc>
          <w:tcPr>
            <w:tcW w:w="1842" w:type="dxa"/>
            <w:gridSpan w:val="2"/>
          </w:tcPr>
          <w:p>
            <w:pPr>
              <w:autoSpaceDE w:val="0"/>
              <w:snapToGrid w:val="0"/>
              <w:jc w:val="right"/>
              <w:rPr>
                <w:rFonts w:cs="Arial"/>
                <w:szCs w:val="22"/>
              </w:rPr>
            </w:pPr>
            <w:r>
              <w:rPr>
                <w:rFonts w:cs="Arial"/>
                <w:szCs w:val="22"/>
              </w:rPr>
              <w:t>2.194</w:t>
            </w:r>
          </w:p>
        </w:tc>
      </w:tr>
      <w:tr>
        <w:trPr>
          <w:trHeight w:val="284"/>
        </w:trPr>
        <w:tc>
          <w:tcPr>
            <w:tcW w:w="6107" w:type="dxa"/>
            <w:gridSpan w:val="2"/>
          </w:tcPr>
          <w:p>
            <w:pPr>
              <w:autoSpaceDE w:val="0"/>
              <w:snapToGrid w:val="0"/>
              <w:rPr>
                <w:rFonts w:cs="Arial"/>
                <w:szCs w:val="22"/>
              </w:rPr>
            </w:pPr>
            <w:r>
              <w:rPr>
                <w:rFonts w:cs="Arial"/>
                <w:szCs w:val="22"/>
              </w:rPr>
              <w:t>13º Salário a Pagar</w:t>
            </w:r>
          </w:p>
        </w:tc>
        <w:tc>
          <w:tcPr>
            <w:tcW w:w="1744" w:type="dxa"/>
          </w:tcPr>
          <w:p>
            <w:pPr>
              <w:autoSpaceDE w:val="0"/>
              <w:snapToGrid w:val="0"/>
              <w:jc w:val="right"/>
              <w:rPr>
                <w:rFonts w:cs="Arial"/>
                <w:szCs w:val="22"/>
              </w:rPr>
            </w:pPr>
            <w:r>
              <w:rPr>
                <w:rFonts w:cs="Arial"/>
                <w:szCs w:val="22"/>
              </w:rPr>
              <w:t>1.007</w:t>
            </w:r>
          </w:p>
        </w:tc>
        <w:tc>
          <w:tcPr>
            <w:tcW w:w="1842" w:type="dxa"/>
            <w:gridSpan w:val="2"/>
          </w:tcPr>
          <w:p>
            <w:pPr>
              <w:autoSpaceDE w:val="0"/>
              <w:snapToGrid w:val="0"/>
              <w:jc w:val="right"/>
              <w:rPr>
                <w:rFonts w:cs="Arial"/>
                <w:szCs w:val="22"/>
              </w:rPr>
            </w:pPr>
            <w:r>
              <w:rPr>
                <w:rFonts w:cs="Arial"/>
                <w:szCs w:val="22"/>
              </w:rPr>
              <w:t>-</w:t>
            </w:r>
          </w:p>
        </w:tc>
      </w:tr>
      <w:tr>
        <w:trPr>
          <w:trHeight w:val="316"/>
        </w:trPr>
        <w:tc>
          <w:tcPr>
            <w:tcW w:w="6008" w:type="dxa"/>
            <w:vAlign w:val="center"/>
          </w:tcPr>
          <w:p>
            <w:pPr>
              <w:tabs>
                <w:tab w:val="left" w:pos="7938"/>
              </w:tabs>
              <w:autoSpaceDE w:val="0"/>
              <w:snapToGrid w:val="0"/>
              <w:rPr>
                <w:rFonts w:cs="Arial"/>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10.310</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8.353</w:t>
            </w:r>
          </w:p>
        </w:tc>
      </w:tr>
    </w:tbl>
    <w:p>
      <w:pPr>
        <w:pStyle w:val="WW-Recuodecorpodetexto2"/>
        <w:tabs>
          <w:tab w:val="left" w:pos="567"/>
        </w:tabs>
      </w:pPr>
      <w:r>
        <w:tab/>
      </w:r>
    </w:p>
    <w:p>
      <w:pPr>
        <w:pStyle w:val="WW-Recuodecorpodetexto2"/>
        <w:tabs>
          <w:tab w:val="left" w:pos="567"/>
        </w:tabs>
      </w:pPr>
      <w:r>
        <w:tab/>
        <w:t>As obrigações referentes a direitos trabalhistas relevantes foram constituídas com base na folha de pagamento da Companhia.</w:t>
      </w:r>
    </w:p>
    <w:p>
      <w:pPr>
        <w:pStyle w:val="WW-Recuodecorpodetexto2"/>
        <w:tabs>
          <w:tab w:val="left" w:pos="567"/>
        </w:tabs>
      </w:pPr>
    </w:p>
    <w:p>
      <w:pPr>
        <w:pStyle w:val="WW-Recuodecorpodetexto2"/>
        <w:tabs>
          <w:tab w:val="left" w:pos="567"/>
        </w:tabs>
      </w:pPr>
    </w:p>
    <w:p>
      <w:pPr>
        <w:pStyle w:val="WW-Recuodecorpodetexto2"/>
        <w:tabs>
          <w:tab w:val="left" w:pos="567"/>
        </w:tabs>
        <w:rPr>
          <w:b/>
          <w:bCs/>
          <w:szCs w:val="22"/>
        </w:rPr>
      </w:pPr>
    </w:p>
    <w:p>
      <w:pPr>
        <w:pStyle w:val="Ttulo1"/>
        <w:rPr>
          <w:bCs/>
        </w:rPr>
      </w:pPr>
      <w:bookmarkStart w:id="85" w:name="_17._CONTRIBUIÇÕES_SOCIAIS_1"/>
      <w:bookmarkStart w:id="86" w:name="_Toc41376125"/>
      <w:bookmarkEnd w:id="85"/>
      <w:r>
        <w:lastRenderedPageBreak/>
        <w:t>17.</w:t>
      </w:r>
      <w:r>
        <w:tab/>
        <w:t>CONTRIBUIÇÕES SOCIAIS A RECOLHER</w:t>
      </w:r>
      <w:bookmarkEnd w:id="86"/>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tcPr>
          <w:p>
            <w:pPr>
              <w:pStyle w:val="Ttulo1"/>
              <w:rPr>
                <w:szCs w:val="22"/>
              </w:rPr>
            </w:pPr>
            <w:bookmarkStart w:id="87" w:name="_18._CONTRIBUIÇÕES_SOCIAIS"/>
            <w:bookmarkStart w:id="88" w:name="_17._CONTRIBUIÇÕES_SOCIAIS"/>
            <w:bookmarkEnd w:id="87"/>
            <w:bookmarkEnd w:id="88"/>
          </w:p>
        </w:tc>
        <w:tc>
          <w:tcPr>
            <w:tcW w:w="1744"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31.03.2020</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31.12.2019</w:t>
            </w:r>
          </w:p>
        </w:tc>
      </w:tr>
      <w:tr>
        <w:trPr>
          <w:trHeight w:val="284"/>
        </w:trPr>
        <w:tc>
          <w:tcPr>
            <w:tcW w:w="6107" w:type="dxa"/>
            <w:gridSpan w:val="2"/>
          </w:tcPr>
          <w:p>
            <w:pPr>
              <w:rPr>
                <w:rFonts w:cs="Arial"/>
              </w:rPr>
            </w:pPr>
            <w:r>
              <w:rPr>
                <w:rFonts w:cs="Arial"/>
              </w:rPr>
              <w:t>INSS – Empresa – Empregados</w:t>
            </w:r>
          </w:p>
        </w:tc>
        <w:tc>
          <w:tcPr>
            <w:tcW w:w="1744" w:type="dxa"/>
          </w:tcPr>
          <w:p>
            <w:pPr>
              <w:tabs>
                <w:tab w:val="center" w:pos="818"/>
                <w:tab w:val="right" w:pos="1636"/>
              </w:tabs>
              <w:autoSpaceDE w:val="0"/>
              <w:snapToGrid w:val="0"/>
              <w:jc w:val="left"/>
              <w:rPr>
                <w:rFonts w:cs="Arial"/>
                <w:szCs w:val="22"/>
              </w:rPr>
            </w:pPr>
            <w:r>
              <w:rPr>
                <w:rFonts w:cs="Arial"/>
                <w:szCs w:val="22"/>
              </w:rPr>
              <w:tab/>
            </w:r>
            <w:r>
              <w:rPr>
                <w:rFonts w:cs="Arial"/>
                <w:szCs w:val="22"/>
              </w:rPr>
              <w:tab/>
              <w:t>1.760</w:t>
            </w:r>
          </w:p>
        </w:tc>
        <w:tc>
          <w:tcPr>
            <w:tcW w:w="1842" w:type="dxa"/>
            <w:gridSpan w:val="2"/>
          </w:tcPr>
          <w:p>
            <w:pPr>
              <w:autoSpaceDE w:val="0"/>
              <w:snapToGrid w:val="0"/>
              <w:jc w:val="right"/>
              <w:rPr>
                <w:rFonts w:cs="Arial"/>
                <w:szCs w:val="22"/>
              </w:rPr>
            </w:pPr>
            <w:r>
              <w:rPr>
                <w:rFonts w:cs="Arial"/>
                <w:szCs w:val="22"/>
              </w:rPr>
              <w:t>1.465</w:t>
            </w:r>
          </w:p>
        </w:tc>
      </w:tr>
      <w:tr>
        <w:trPr>
          <w:trHeight w:val="284"/>
        </w:trPr>
        <w:tc>
          <w:tcPr>
            <w:tcW w:w="6107" w:type="dxa"/>
            <w:gridSpan w:val="2"/>
          </w:tcPr>
          <w:p>
            <w:pPr>
              <w:rPr>
                <w:rFonts w:cs="Arial"/>
              </w:rPr>
            </w:pPr>
            <w:proofErr w:type="spellStart"/>
            <w:r>
              <w:rPr>
                <w:rFonts w:cs="Arial"/>
              </w:rPr>
              <w:t>Cofins</w:t>
            </w:r>
            <w:proofErr w:type="spellEnd"/>
            <w:r>
              <w:rPr>
                <w:rFonts w:cs="Arial"/>
              </w:rPr>
              <w:t xml:space="preserve"> a Recolher</w:t>
            </w:r>
          </w:p>
        </w:tc>
        <w:tc>
          <w:tcPr>
            <w:tcW w:w="1744" w:type="dxa"/>
          </w:tcPr>
          <w:p>
            <w:pPr>
              <w:autoSpaceDE w:val="0"/>
              <w:snapToGrid w:val="0"/>
              <w:jc w:val="right"/>
              <w:rPr>
                <w:rFonts w:cs="Arial"/>
                <w:szCs w:val="22"/>
              </w:rPr>
            </w:pPr>
            <w:r>
              <w:rPr>
                <w:rFonts w:cs="Arial"/>
                <w:szCs w:val="22"/>
              </w:rPr>
              <w:t>2.127</w:t>
            </w:r>
          </w:p>
        </w:tc>
        <w:tc>
          <w:tcPr>
            <w:tcW w:w="1842" w:type="dxa"/>
            <w:gridSpan w:val="2"/>
          </w:tcPr>
          <w:p>
            <w:pPr>
              <w:autoSpaceDE w:val="0"/>
              <w:snapToGrid w:val="0"/>
              <w:jc w:val="right"/>
              <w:rPr>
                <w:rFonts w:cs="Arial"/>
                <w:szCs w:val="22"/>
              </w:rPr>
            </w:pPr>
            <w:r>
              <w:rPr>
                <w:rFonts w:cs="Arial"/>
                <w:szCs w:val="22"/>
              </w:rPr>
              <w:t>875</w:t>
            </w:r>
          </w:p>
        </w:tc>
      </w:tr>
      <w:tr>
        <w:trPr>
          <w:trHeight w:val="284"/>
        </w:trPr>
        <w:tc>
          <w:tcPr>
            <w:tcW w:w="6107" w:type="dxa"/>
            <w:gridSpan w:val="2"/>
          </w:tcPr>
          <w:p>
            <w:pPr>
              <w:rPr>
                <w:rFonts w:cs="Arial"/>
              </w:rPr>
            </w:pPr>
            <w:r>
              <w:rPr>
                <w:rFonts w:cs="Arial"/>
              </w:rPr>
              <w:t>INSS – Lei 9.711/98 e OS 203/99</w:t>
            </w:r>
          </w:p>
        </w:tc>
        <w:tc>
          <w:tcPr>
            <w:tcW w:w="1744" w:type="dxa"/>
          </w:tcPr>
          <w:p>
            <w:pPr>
              <w:autoSpaceDE w:val="0"/>
              <w:snapToGrid w:val="0"/>
              <w:jc w:val="right"/>
              <w:rPr>
                <w:rFonts w:cs="Arial"/>
                <w:szCs w:val="22"/>
              </w:rPr>
            </w:pPr>
            <w:r>
              <w:rPr>
                <w:rFonts w:cs="Arial"/>
                <w:szCs w:val="22"/>
              </w:rPr>
              <w:t>754</w:t>
            </w:r>
          </w:p>
        </w:tc>
        <w:tc>
          <w:tcPr>
            <w:tcW w:w="1842" w:type="dxa"/>
            <w:gridSpan w:val="2"/>
          </w:tcPr>
          <w:p>
            <w:pPr>
              <w:autoSpaceDE w:val="0"/>
              <w:snapToGrid w:val="0"/>
              <w:jc w:val="right"/>
              <w:rPr>
                <w:rFonts w:cs="Arial"/>
                <w:szCs w:val="22"/>
              </w:rPr>
            </w:pPr>
            <w:r>
              <w:rPr>
                <w:rFonts w:cs="Arial"/>
                <w:szCs w:val="22"/>
              </w:rPr>
              <w:t>634</w:t>
            </w:r>
          </w:p>
        </w:tc>
      </w:tr>
      <w:tr>
        <w:trPr>
          <w:trHeight w:val="284"/>
        </w:trPr>
        <w:tc>
          <w:tcPr>
            <w:tcW w:w="6107" w:type="dxa"/>
            <w:gridSpan w:val="2"/>
          </w:tcPr>
          <w:p>
            <w:pPr>
              <w:rPr>
                <w:rFonts w:cs="Arial"/>
              </w:rPr>
            </w:pPr>
            <w:r>
              <w:rPr>
                <w:rFonts w:cs="Arial"/>
              </w:rPr>
              <w:t>FGTS – Empresa</w:t>
            </w:r>
          </w:p>
        </w:tc>
        <w:tc>
          <w:tcPr>
            <w:tcW w:w="1744" w:type="dxa"/>
          </w:tcPr>
          <w:p>
            <w:pPr>
              <w:autoSpaceDE w:val="0"/>
              <w:snapToGrid w:val="0"/>
              <w:jc w:val="right"/>
              <w:rPr>
                <w:rFonts w:cs="Arial"/>
                <w:szCs w:val="22"/>
              </w:rPr>
            </w:pPr>
            <w:r>
              <w:rPr>
                <w:rFonts w:cs="Arial"/>
                <w:szCs w:val="22"/>
              </w:rPr>
              <w:t>454</w:t>
            </w:r>
          </w:p>
        </w:tc>
        <w:tc>
          <w:tcPr>
            <w:tcW w:w="1842" w:type="dxa"/>
            <w:gridSpan w:val="2"/>
          </w:tcPr>
          <w:p>
            <w:pPr>
              <w:autoSpaceDE w:val="0"/>
              <w:snapToGrid w:val="0"/>
              <w:jc w:val="right"/>
              <w:rPr>
                <w:rFonts w:cs="Arial"/>
                <w:szCs w:val="22"/>
              </w:rPr>
            </w:pPr>
            <w:r>
              <w:rPr>
                <w:rFonts w:cs="Arial"/>
                <w:szCs w:val="22"/>
              </w:rPr>
              <w:t>472</w:t>
            </w:r>
          </w:p>
        </w:tc>
      </w:tr>
      <w:tr>
        <w:trPr>
          <w:trHeight w:val="284"/>
        </w:trPr>
        <w:tc>
          <w:tcPr>
            <w:tcW w:w="6107" w:type="dxa"/>
            <w:gridSpan w:val="2"/>
          </w:tcPr>
          <w:p>
            <w:pPr>
              <w:rPr>
                <w:rFonts w:cs="Arial"/>
              </w:rPr>
            </w:pPr>
            <w:r>
              <w:rPr>
                <w:rFonts w:cs="Arial"/>
              </w:rPr>
              <w:t>Pasep a Recolher</w:t>
            </w:r>
          </w:p>
        </w:tc>
        <w:tc>
          <w:tcPr>
            <w:tcW w:w="1744" w:type="dxa"/>
          </w:tcPr>
          <w:p>
            <w:pPr>
              <w:autoSpaceDE w:val="0"/>
              <w:snapToGrid w:val="0"/>
              <w:jc w:val="right"/>
              <w:rPr>
                <w:rFonts w:cs="Arial"/>
                <w:szCs w:val="22"/>
              </w:rPr>
            </w:pPr>
            <w:r>
              <w:rPr>
                <w:rFonts w:cs="Arial"/>
                <w:szCs w:val="22"/>
              </w:rPr>
              <w:t>461</w:t>
            </w:r>
          </w:p>
        </w:tc>
        <w:tc>
          <w:tcPr>
            <w:tcW w:w="1842" w:type="dxa"/>
            <w:gridSpan w:val="2"/>
          </w:tcPr>
          <w:p>
            <w:pPr>
              <w:autoSpaceDE w:val="0"/>
              <w:snapToGrid w:val="0"/>
              <w:jc w:val="right"/>
              <w:rPr>
                <w:rFonts w:cs="Arial"/>
                <w:szCs w:val="22"/>
              </w:rPr>
            </w:pPr>
            <w:r>
              <w:rPr>
                <w:rFonts w:cs="Arial"/>
                <w:szCs w:val="22"/>
              </w:rPr>
              <w:t>187</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5.556</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3.633</w:t>
            </w:r>
          </w:p>
        </w:tc>
      </w:tr>
    </w:tbl>
    <w:p>
      <w:pPr>
        <w:pStyle w:val="WW-Recuodecorpodetexto2"/>
        <w:tabs>
          <w:tab w:val="left" w:pos="567"/>
        </w:tabs>
        <w:rPr>
          <w:szCs w:val="22"/>
        </w:rPr>
      </w:pPr>
      <w:r>
        <w:rPr>
          <w:szCs w:val="22"/>
        </w:rPr>
        <w:tab/>
        <w:t xml:space="preserve">Correspondem às obrigações relativas às contribuições patronais, bem como às obrigações tributárias relativas a Pasep e </w:t>
      </w:r>
      <w:proofErr w:type="spellStart"/>
      <w:r>
        <w:rPr>
          <w:szCs w:val="22"/>
        </w:rPr>
        <w:t>Cofins</w:t>
      </w:r>
      <w:proofErr w:type="spellEnd"/>
      <w:r>
        <w:rPr>
          <w:szCs w:val="22"/>
        </w:rPr>
        <w:t xml:space="preserve"> sobre o faturamento.</w:t>
      </w:r>
    </w:p>
    <w:p>
      <w:pPr>
        <w:pStyle w:val="WW-Recuodecorpodetexto2"/>
        <w:tabs>
          <w:tab w:val="left" w:pos="567"/>
        </w:tabs>
        <w:rPr>
          <w:szCs w:val="22"/>
        </w:rPr>
      </w:pPr>
    </w:p>
    <w:p>
      <w:pPr>
        <w:pStyle w:val="Ttulo1"/>
      </w:pPr>
      <w:bookmarkStart w:id="89" w:name="_18._OBRIGAÇÕES_FISCAIS_1"/>
      <w:bookmarkStart w:id="90" w:name="_Toc41376126"/>
      <w:bookmarkEnd w:id="89"/>
      <w:r>
        <w:t>18.</w:t>
      </w:r>
      <w:r>
        <w:tab/>
        <w:t>OBRIGAÇÕES FISCAIS A RECOLHER</w:t>
      </w:r>
      <w:bookmarkEnd w:id="90"/>
    </w:p>
    <w:tbl>
      <w:tblPr>
        <w:tblW w:w="9693" w:type="dxa"/>
        <w:tblLayout w:type="fixed"/>
        <w:tblCellMar>
          <w:left w:w="54" w:type="dxa"/>
          <w:right w:w="54" w:type="dxa"/>
        </w:tblCellMar>
        <w:tblLook w:val="0000" w:firstRow="0" w:lastRow="0" w:firstColumn="0" w:lastColumn="0" w:noHBand="0" w:noVBand="0"/>
      </w:tblPr>
      <w:tblGrid>
        <w:gridCol w:w="5016"/>
        <w:gridCol w:w="1265"/>
        <w:gridCol w:w="1145"/>
        <w:gridCol w:w="1133"/>
        <w:gridCol w:w="1134"/>
      </w:tblGrid>
      <w:tr>
        <w:trPr>
          <w:trHeight w:val="90"/>
        </w:trPr>
        <w:tc>
          <w:tcPr>
            <w:tcW w:w="5016" w:type="dxa"/>
            <w:vAlign w:val="bottom"/>
          </w:tcPr>
          <w:p>
            <w:pPr>
              <w:pStyle w:val="Ttulo1"/>
              <w:rPr>
                <w:i/>
                <w:iCs/>
                <w:szCs w:val="22"/>
              </w:rPr>
            </w:pPr>
            <w:bookmarkStart w:id="91" w:name="_19._OBRIGAÇÕES_FISCAIS"/>
            <w:bookmarkStart w:id="92" w:name="_18._OBRIGAÇÕES_FISCAIS"/>
            <w:bookmarkEnd w:id="91"/>
            <w:bookmarkEnd w:id="92"/>
          </w:p>
        </w:tc>
        <w:tc>
          <w:tcPr>
            <w:tcW w:w="2410" w:type="dxa"/>
            <w:gridSpan w:val="2"/>
            <w:vAlign w:val="bottom"/>
          </w:tcPr>
          <w:p>
            <w:pPr>
              <w:pBdr>
                <w:bottom w:val="single" w:sz="4" w:space="1" w:color="000000"/>
              </w:pBdr>
              <w:autoSpaceDE w:val="0"/>
              <w:snapToGrid w:val="0"/>
              <w:jc w:val="center"/>
              <w:rPr>
                <w:rFonts w:cs="Arial"/>
                <w:b/>
                <w:bCs/>
                <w:szCs w:val="22"/>
              </w:rPr>
            </w:pPr>
            <w:r>
              <w:rPr>
                <w:rFonts w:cs="Arial"/>
                <w:b/>
                <w:bCs/>
                <w:szCs w:val="22"/>
              </w:rPr>
              <w:t>31.03.2020</w:t>
            </w:r>
          </w:p>
        </w:tc>
        <w:tc>
          <w:tcPr>
            <w:tcW w:w="2267" w:type="dxa"/>
            <w:gridSpan w:val="2"/>
            <w:vAlign w:val="bottom"/>
          </w:tcPr>
          <w:p>
            <w:pPr>
              <w:pBdr>
                <w:bottom w:val="single" w:sz="4" w:space="1" w:color="000000"/>
              </w:pBdr>
              <w:autoSpaceDE w:val="0"/>
              <w:snapToGrid w:val="0"/>
              <w:ind w:right="-54"/>
              <w:jc w:val="center"/>
              <w:rPr>
                <w:rFonts w:cs="Arial"/>
                <w:b/>
                <w:bCs/>
                <w:szCs w:val="22"/>
              </w:rPr>
            </w:pPr>
            <w:r>
              <w:rPr>
                <w:rFonts w:cs="Arial"/>
                <w:b/>
                <w:bCs/>
                <w:szCs w:val="22"/>
              </w:rPr>
              <w:t>31.12.2019</w:t>
            </w:r>
          </w:p>
        </w:tc>
      </w:tr>
      <w:tr>
        <w:trPr>
          <w:trHeight w:val="603"/>
        </w:trPr>
        <w:tc>
          <w:tcPr>
            <w:tcW w:w="5016" w:type="dxa"/>
            <w:vAlign w:val="bottom"/>
          </w:tcPr>
          <w:p>
            <w:pPr>
              <w:autoSpaceDE w:val="0"/>
              <w:snapToGrid w:val="0"/>
              <w:rPr>
                <w:rFonts w:cs="Arial"/>
                <w:b/>
                <w:bCs/>
              </w:rPr>
            </w:pPr>
          </w:p>
        </w:tc>
        <w:tc>
          <w:tcPr>
            <w:tcW w:w="1265" w:type="dxa"/>
            <w:vAlign w:val="bottom"/>
          </w:tcPr>
          <w:p>
            <w:pPr>
              <w:pBdr>
                <w:bottom w:val="single" w:sz="4" w:space="1" w:color="000000"/>
              </w:pBdr>
              <w:autoSpaceDE w:val="0"/>
              <w:snapToGrid w:val="0"/>
              <w:jc w:val="right"/>
              <w:rPr>
                <w:rFonts w:cs="Arial"/>
                <w:b/>
                <w:bCs/>
              </w:rPr>
            </w:pPr>
            <w:r>
              <w:rPr>
                <w:rFonts w:cs="Arial"/>
                <w:b/>
                <w:bCs/>
              </w:rPr>
              <w:t>Curto prazo</w:t>
            </w:r>
          </w:p>
        </w:tc>
        <w:tc>
          <w:tcPr>
            <w:tcW w:w="1145" w:type="dxa"/>
            <w:vAlign w:val="bottom"/>
          </w:tcPr>
          <w:p>
            <w:pPr>
              <w:pStyle w:val="Ttulo8"/>
              <w:jc w:val="right"/>
              <w:rPr>
                <w:sz w:val="22"/>
              </w:rPr>
            </w:pPr>
            <w:r>
              <w:rPr>
                <w:sz w:val="22"/>
              </w:rPr>
              <w:t>Longo prazo</w:t>
            </w:r>
          </w:p>
        </w:tc>
        <w:tc>
          <w:tcPr>
            <w:tcW w:w="1133" w:type="dxa"/>
            <w:vAlign w:val="bottom"/>
          </w:tcPr>
          <w:p>
            <w:pPr>
              <w:pStyle w:val="Ttulo8"/>
              <w:jc w:val="right"/>
              <w:rPr>
                <w:sz w:val="22"/>
              </w:rPr>
            </w:pPr>
            <w:r>
              <w:rPr>
                <w:sz w:val="22"/>
              </w:rPr>
              <w:t>Curto prazo</w:t>
            </w:r>
          </w:p>
        </w:tc>
        <w:tc>
          <w:tcPr>
            <w:tcW w:w="1134" w:type="dxa"/>
            <w:vAlign w:val="bottom"/>
          </w:tcPr>
          <w:p>
            <w:pPr>
              <w:pStyle w:val="Ttulo8"/>
              <w:jc w:val="right"/>
              <w:rPr>
                <w:sz w:val="22"/>
              </w:rPr>
            </w:pPr>
            <w:r>
              <w:rPr>
                <w:sz w:val="22"/>
              </w:rPr>
              <w:t>Longo prazo</w:t>
            </w:r>
          </w:p>
        </w:tc>
      </w:tr>
      <w:tr>
        <w:trPr>
          <w:trHeight w:val="284"/>
        </w:trPr>
        <w:tc>
          <w:tcPr>
            <w:tcW w:w="5016" w:type="dxa"/>
            <w:vAlign w:val="center"/>
          </w:tcPr>
          <w:p>
            <w:pPr>
              <w:autoSpaceDE w:val="0"/>
              <w:snapToGrid w:val="0"/>
              <w:rPr>
                <w:rFonts w:cs="Arial"/>
              </w:rPr>
            </w:pPr>
            <w:r>
              <w:rPr>
                <w:rFonts w:cs="Arial"/>
              </w:rPr>
              <w:t>Impostos e Taxas Municipais</w:t>
            </w:r>
          </w:p>
        </w:tc>
        <w:tc>
          <w:tcPr>
            <w:tcW w:w="1265" w:type="dxa"/>
            <w:vAlign w:val="center"/>
          </w:tcPr>
          <w:p>
            <w:pPr>
              <w:autoSpaceDE w:val="0"/>
              <w:snapToGrid w:val="0"/>
              <w:jc w:val="right"/>
              <w:rPr>
                <w:rFonts w:cs="Arial"/>
              </w:rPr>
            </w:pPr>
            <w:r>
              <w:rPr>
                <w:rFonts w:cs="Arial"/>
              </w:rPr>
              <w:t>46.398</w:t>
            </w:r>
          </w:p>
        </w:tc>
        <w:tc>
          <w:tcPr>
            <w:tcW w:w="1145" w:type="dxa"/>
            <w:vAlign w:val="center"/>
          </w:tcPr>
          <w:p>
            <w:pPr>
              <w:autoSpaceDE w:val="0"/>
              <w:snapToGrid w:val="0"/>
              <w:jc w:val="right"/>
              <w:rPr>
                <w:rFonts w:cs="Arial"/>
              </w:rPr>
            </w:pPr>
            <w:r>
              <w:rPr>
                <w:rFonts w:cs="Arial"/>
              </w:rPr>
              <w:t>-</w:t>
            </w:r>
          </w:p>
        </w:tc>
        <w:tc>
          <w:tcPr>
            <w:tcW w:w="1133" w:type="dxa"/>
            <w:vAlign w:val="center"/>
          </w:tcPr>
          <w:p>
            <w:pPr>
              <w:autoSpaceDE w:val="0"/>
              <w:snapToGrid w:val="0"/>
              <w:jc w:val="right"/>
              <w:rPr>
                <w:rFonts w:cs="Arial"/>
              </w:rPr>
            </w:pPr>
            <w:r>
              <w:rPr>
                <w:rFonts w:cs="Arial"/>
              </w:rPr>
              <w:t>17.359</w:t>
            </w:r>
          </w:p>
        </w:tc>
        <w:tc>
          <w:tcPr>
            <w:tcW w:w="1134" w:type="dxa"/>
            <w:vAlign w:val="center"/>
          </w:tcPr>
          <w:p>
            <w:pPr>
              <w:autoSpaceDE w:val="0"/>
              <w:snapToGrid w:val="0"/>
              <w:jc w:val="right"/>
              <w:rPr>
                <w:rFonts w:cs="Arial"/>
              </w:rPr>
            </w:pPr>
            <w:r>
              <w:rPr>
                <w:rFonts w:cs="Arial"/>
              </w:rPr>
              <w:t>-</w:t>
            </w:r>
          </w:p>
        </w:tc>
      </w:tr>
      <w:tr>
        <w:trPr>
          <w:trHeight w:val="284"/>
        </w:trPr>
        <w:tc>
          <w:tcPr>
            <w:tcW w:w="5016" w:type="dxa"/>
            <w:vAlign w:val="center"/>
          </w:tcPr>
          <w:p>
            <w:pPr>
              <w:autoSpaceDE w:val="0"/>
              <w:snapToGrid w:val="0"/>
              <w:rPr>
                <w:rFonts w:cs="Arial"/>
              </w:rPr>
            </w:pPr>
            <w:r>
              <w:rPr>
                <w:rFonts w:cs="Arial"/>
              </w:rPr>
              <w:t>Programa Parcelamento Incentivado/PMSP – PPI</w:t>
            </w:r>
          </w:p>
        </w:tc>
        <w:tc>
          <w:tcPr>
            <w:tcW w:w="1265" w:type="dxa"/>
            <w:vAlign w:val="center"/>
          </w:tcPr>
          <w:p>
            <w:pPr>
              <w:autoSpaceDE w:val="0"/>
              <w:snapToGrid w:val="0"/>
              <w:jc w:val="right"/>
              <w:rPr>
                <w:rFonts w:cs="Arial"/>
              </w:rPr>
            </w:pPr>
            <w:r>
              <w:rPr>
                <w:rFonts w:cs="Arial"/>
              </w:rPr>
              <w:t>5.365</w:t>
            </w:r>
          </w:p>
        </w:tc>
        <w:tc>
          <w:tcPr>
            <w:tcW w:w="1145" w:type="dxa"/>
            <w:vAlign w:val="center"/>
          </w:tcPr>
          <w:p>
            <w:pPr>
              <w:autoSpaceDE w:val="0"/>
              <w:snapToGrid w:val="0"/>
              <w:jc w:val="right"/>
              <w:rPr>
                <w:rFonts w:cs="Arial"/>
              </w:rPr>
            </w:pPr>
            <w:r>
              <w:rPr>
                <w:rFonts w:cs="Arial"/>
              </w:rPr>
              <w:t>-</w:t>
            </w:r>
          </w:p>
        </w:tc>
        <w:tc>
          <w:tcPr>
            <w:tcW w:w="1133" w:type="dxa"/>
            <w:vAlign w:val="center"/>
          </w:tcPr>
          <w:p>
            <w:pPr>
              <w:autoSpaceDE w:val="0"/>
              <w:snapToGrid w:val="0"/>
              <w:jc w:val="right"/>
              <w:rPr>
                <w:rFonts w:cs="Arial"/>
              </w:rPr>
            </w:pPr>
            <w:r>
              <w:rPr>
                <w:rFonts w:cs="Arial"/>
              </w:rPr>
              <w:t>6.399</w:t>
            </w:r>
          </w:p>
        </w:tc>
        <w:tc>
          <w:tcPr>
            <w:tcW w:w="1134" w:type="dxa"/>
            <w:vAlign w:val="center"/>
          </w:tcPr>
          <w:p>
            <w:pPr>
              <w:autoSpaceDE w:val="0"/>
              <w:snapToGrid w:val="0"/>
              <w:jc w:val="right"/>
              <w:rPr>
                <w:rFonts w:cs="Arial"/>
              </w:rPr>
            </w:pPr>
            <w:r>
              <w:rPr>
                <w:rFonts w:cs="Arial"/>
              </w:rPr>
              <w:t>-</w:t>
            </w:r>
          </w:p>
        </w:tc>
      </w:tr>
      <w:tr>
        <w:trPr>
          <w:trHeight w:val="284"/>
        </w:trPr>
        <w:tc>
          <w:tcPr>
            <w:tcW w:w="5016" w:type="dxa"/>
            <w:vAlign w:val="center"/>
          </w:tcPr>
          <w:p>
            <w:pPr>
              <w:autoSpaceDE w:val="0"/>
              <w:snapToGrid w:val="0"/>
              <w:rPr>
                <w:rFonts w:cs="Arial"/>
              </w:rPr>
            </w:pPr>
            <w:r>
              <w:rPr>
                <w:rFonts w:cs="Arial"/>
              </w:rPr>
              <w:t>Impostos Retidos – Lei nº 10.833/03</w:t>
            </w:r>
          </w:p>
        </w:tc>
        <w:tc>
          <w:tcPr>
            <w:tcW w:w="1265" w:type="dxa"/>
            <w:vAlign w:val="center"/>
          </w:tcPr>
          <w:p>
            <w:pPr>
              <w:autoSpaceDE w:val="0"/>
              <w:snapToGrid w:val="0"/>
              <w:jc w:val="right"/>
              <w:rPr>
                <w:rFonts w:cs="Arial"/>
              </w:rPr>
            </w:pPr>
            <w:r>
              <w:rPr>
                <w:rFonts w:cs="Arial"/>
              </w:rPr>
              <w:t>2.224</w:t>
            </w:r>
          </w:p>
        </w:tc>
        <w:tc>
          <w:tcPr>
            <w:tcW w:w="1145" w:type="dxa"/>
            <w:vAlign w:val="center"/>
          </w:tcPr>
          <w:p>
            <w:pPr>
              <w:autoSpaceDE w:val="0"/>
              <w:snapToGrid w:val="0"/>
              <w:jc w:val="right"/>
              <w:rPr>
                <w:rFonts w:cs="Arial"/>
              </w:rPr>
            </w:pPr>
            <w:r>
              <w:rPr>
                <w:rFonts w:cs="Arial"/>
              </w:rPr>
              <w:t>-</w:t>
            </w:r>
          </w:p>
        </w:tc>
        <w:tc>
          <w:tcPr>
            <w:tcW w:w="1133" w:type="dxa"/>
            <w:vAlign w:val="center"/>
          </w:tcPr>
          <w:p>
            <w:pPr>
              <w:autoSpaceDE w:val="0"/>
              <w:snapToGrid w:val="0"/>
              <w:jc w:val="right"/>
              <w:rPr>
                <w:rFonts w:cs="Arial"/>
              </w:rPr>
            </w:pPr>
            <w:r>
              <w:rPr>
                <w:rFonts w:cs="Arial"/>
              </w:rPr>
              <w:t>2.350</w:t>
            </w:r>
          </w:p>
        </w:tc>
        <w:tc>
          <w:tcPr>
            <w:tcW w:w="1134" w:type="dxa"/>
            <w:vAlign w:val="center"/>
          </w:tcPr>
          <w:p>
            <w:pPr>
              <w:autoSpaceDE w:val="0"/>
              <w:snapToGrid w:val="0"/>
              <w:jc w:val="right"/>
              <w:rPr>
                <w:rFonts w:cs="Arial"/>
              </w:rPr>
            </w:pPr>
            <w:r>
              <w:rPr>
                <w:rFonts w:cs="Arial"/>
              </w:rPr>
              <w:t>-</w:t>
            </w:r>
          </w:p>
        </w:tc>
      </w:tr>
      <w:tr>
        <w:trPr>
          <w:trHeight w:val="285"/>
        </w:trPr>
        <w:tc>
          <w:tcPr>
            <w:tcW w:w="5016" w:type="dxa"/>
            <w:vAlign w:val="center"/>
          </w:tcPr>
          <w:p>
            <w:pPr>
              <w:autoSpaceDE w:val="0"/>
              <w:snapToGrid w:val="0"/>
              <w:rPr>
                <w:rFonts w:cs="Arial"/>
              </w:rPr>
            </w:pPr>
            <w:r>
              <w:rPr>
                <w:rFonts w:cs="Arial"/>
              </w:rPr>
              <w:t>Programa Recuperação Fiscal – Refis</w:t>
            </w:r>
          </w:p>
        </w:tc>
        <w:tc>
          <w:tcPr>
            <w:tcW w:w="1265" w:type="dxa"/>
            <w:vAlign w:val="center"/>
          </w:tcPr>
          <w:p>
            <w:pPr>
              <w:autoSpaceDE w:val="0"/>
              <w:snapToGrid w:val="0"/>
              <w:jc w:val="right"/>
              <w:rPr>
                <w:rFonts w:cs="Arial"/>
              </w:rPr>
            </w:pPr>
            <w:r>
              <w:rPr>
                <w:rFonts w:cs="Arial"/>
              </w:rPr>
              <w:t>1.300</w:t>
            </w:r>
          </w:p>
        </w:tc>
        <w:tc>
          <w:tcPr>
            <w:tcW w:w="1145" w:type="dxa"/>
            <w:vAlign w:val="center"/>
          </w:tcPr>
          <w:p>
            <w:pPr>
              <w:autoSpaceDE w:val="0"/>
              <w:snapToGrid w:val="0"/>
              <w:jc w:val="right"/>
              <w:rPr>
                <w:rFonts w:cs="Arial"/>
              </w:rPr>
            </w:pPr>
            <w:r>
              <w:rPr>
                <w:rFonts w:cs="Arial"/>
              </w:rPr>
              <w:t>4.551</w:t>
            </w:r>
          </w:p>
        </w:tc>
        <w:tc>
          <w:tcPr>
            <w:tcW w:w="1133" w:type="dxa"/>
            <w:vAlign w:val="center"/>
          </w:tcPr>
          <w:p>
            <w:pPr>
              <w:autoSpaceDE w:val="0"/>
              <w:snapToGrid w:val="0"/>
              <w:jc w:val="right"/>
              <w:rPr>
                <w:rFonts w:cs="Arial"/>
              </w:rPr>
            </w:pPr>
            <w:r>
              <w:rPr>
                <w:rFonts w:cs="Arial"/>
              </w:rPr>
              <w:t>1.294</w:t>
            </w:r>
          </w:p>
        </w:tc>
        <w:tc>
          <w:tcPr>
            <w:tcW w:w="1134" w:type="dxa"/>
            <w:vAlign w:val="center"/>
          </w:tcPr>
          <w:p>
            <w:pPr>
              <w:autoSpaceDE w:val="0"/>
              <w:snapToGrid w:val="0"/>
              <w:jc w:val="right"/>
              <w:rPr>
                <w:rFonts w:cs="Arial"/>
              </w:rPr>
            </w:pPr>
            <w:r>
              <w:rPr>
                <w:rFonts w:cs="Arial"/>
              </w:rPr>
              <w:t>4.851</w:t>
            </w:r>
          </w:p>
        </w:tc>
      </w:tr>
      <w:tr>
        <w:trPr>
          <w:trHeight w:val="285"/>
        </w:trPr>
        <w:tc>
          <w:tcPr>
            <w:tcW w:w="5016" w:type="dxa"/>
            <w:vAlign w:val="center"/>
          </w:tcPr>
          <w:p>
            <w:pPr>
              <w:autoSpaceDE w:val="0"/>
              <w:snapToGrid w:val="0"/>
              <w:rPr>
                <w:rFonts w:cs="Arial"/>
              </w:rPr>
            </w:pPr>
            <w:r>
              <w:rPr>
                <w:rFonts w:cs="Arial"/>
              </w:rPr>
              <w:t>Taxa de Lixo</w:t>
            </w:r>
          </w:p>
        </w:tc>
        <w:tc>
          <w:tcPr>
            <w:tcW w:w="1265" w:type="dxa"/>
            <w:vAlign w:val="center"/>
          </w:tcPr>
          <w:p>
            <w:pPr>
              <w:autoSpaceDE w:val="0"/>
              <w:snapToGrid w:val="0"/>
              <w:jc w:val="right"/>
              <w:rPr>
                <w:rFonts w:cs="Arial"/>
              </w:rPr>
            </w:pPr>
            <w:r>
              <w:rPr>
                <w:rFonts w:cs="Arial"/>
              </w:rPr>
              <w:t>1.268</w:t>
            </w:r>
          </w:p>
        </w:tc>
        <w:tc>
          <w:tcPr>
            <w:tcW w:w="1145" w:type="dxa"/>
            <w:vAlign w:val="center"/>
          </w:tcPr>
          <w:p>
            <w:pPr>
              <w:autoSpaceDE w:val="0"/>
              <w:snapToGrid w:val="0"/>
              <w:jc w:val="right"/>
              <w:rPr>
                <w:rFonts w:cs="Arial"/>
              </w:rPr>
            </w:pPr>
            <w:r>
              <w:rPr>
                <w:rFonts w:cs="Arial"/>
              </w:rPr>
              <w:t>9.297</w:t>
            </w:r>
          </w:p>
        </w:tc>
        <w:tc>
          <w:tcPr>
            <w:tcW w:w="1133" w:type="dxa"/>
            <w:vAlign w:val="center"/>
          </w:tcPr>
          <w:p>
            <w:pPr>
              <w:autoSpaceDE w:val="0"/>
              <w:snapToGrid w:val="0"/>
              <w:jc w:val="right"/>
              <w:rPr>
                <w:rFonts w:cs="Arial"/>
              </w:rPr>
            </w:pPr>
            <w:r>
              <w:rPr>
                <w:rFonts w:cs="Arial"/>
              </w:rPr>
              <w:t>1.216</w:t>
            </w:r>
          </w:p>
        </w:tc>
        <w:tc>
          <w:tcPr>
            <w:tcW w:w="1134" w:type="dxa"/>
            <w:vAlign w:val="center"/>
          </w:tcPr>
          <w:p>
            <w:pPr>
              <w:autoSpaceDE w:val="0"/>
              <w:snapToGrid w:val="0"/>
              <w:jc w:val="right"/>
              <w:rPr>
                <w:rFonts w:cs="Arial"/>
              </w:rPr>
            </w:pPr>
            <w:r>
              <w:rPr>
                <w:rFonts w:cs="Arial"/>
              </w:rPr>
              <w:t>9.225</w:t>
            </w:r>
          </w:p>
        </w:tc>
      </w:tr>
      <w:tr>
        <w:trPr>
          <w:trHeight w:val="284"/>
        </w:trPr>
        <w:tc>
          <w:tcPr>
            <w:tcW w:w="5016" w:type="dxa"/>
            <w:vAlign w:val="center"/>
          </w:tcPr>
          <w:p>
            <w:pPr>
              <w:autoSpaceDE w:val="0"/>
              <w:snapToGrid w:val="0"/>
              <w:rPr>
                <w:rFonts w:cs="Arial"/>
              </w:rPr>
            </w:pPr>
            <w:r>
              <w:rPr>
                <w:rFonts w:cs="Arial"/>
              </w:rPr>
              <w:t>ICMS a Recolher</w:t>
            </w:r>
          </w:p>
        </w:tc>
        <w:tc>
          <w:tcPr>
            <w:tcW w:w="1265" w:type="dxa"/>
            <w:vAlign w:val="center"/>
          </w:tcPr>
          <w:p>
            <w:pPr>
              <w:autoSpaceDE w:val="0"/>
              <w:snapToGrid w:val="0"/>
              <w:jc w:val="right"/>
              <w:rPr>
                <w:rFonts w:cs="Arial"/>
              </w:rPr>
            </w:pPr>
            <w:r>
              <w:rPr>
                <w:rFonts w:cs="Arial"/>
              </w:rPr>
              <w:t>907</w:t>
            </w:r>
          </w:p>
        </w:tc>
        <w:tc>
          <w:tcPr>
            <w:tcW w:w="1145" w:type="dxa"/>
            <w:vAlign w:val="center"/>
          </w:tcPr>
          <w:p>
            <w:pPr>
              <w:autoSpaceDE w:val="0"/>
              <w:snapToGrid w:val="0"/>
              <w:jc w:val="right"/>
              <w:rPr>
                <w:rFonts w:cs="Arial"/>
              </w:rPr>
            </w:pPr>
            <w:r>
              <w:rPr>
                <w:rFonts w:cs="Arial"/>
              </w:rPr>
              <w:t>11</w:t>
            </w:r>
          </w:p>
        </w:tc>
        <w:tc>
          <w:tcPr>
            <w:tcW w:w="1133" w:type="dxa"/>
            <w:vAlign w:val="center"/>
          </w:tcPr>
          <w:p>
            <w:pPr>
              <w:autoSpaceDE w:val="0"/>
              <w:snapToGrid w:val="0"/>
              <w:jc w:val="right"/>
              <w:rPr>
                <w:rFonts w:cs="Arial"/>
              </w:rPr>
            </w:pPr>
            <w:r>
              <w:rPr>
                <w:rFonts w:cs="Arial"/>
              </w:rPr>
              <w:t>1.235</w:t>
            </w:r>
          </w:p>
        </w:tc>
        <w:tc>
          <w:tcPr>
            <w:tcW w:w="1134" w:type="dxa"/>
            <w:vAlign w:val="center"/>
          </w:tcPr>
          <w:p>
            <w:pPr>
              <w:autoSpaceDE w:val="0"/>
              <w:snapToGrid w:val="0"/>
              <w:jc w:val="right"/>
              <w:rPr>
                <w:rFonts w:cs="Arial"/>
              </w:rPr>
            </w:pPr>
            <w:r>
              <w:rPr>
                <w:rFonts w:cs="Arial"/>
              </w:rPr>
              <w:t>19</w:t>
            </w:r>
          </w:p>
        </w:tc>
      </w:tr>
      <w:tr>
        <w:trPr>
          <w:trHeight w:val="284"/>
        </w:trPr>
        <w:tc>
          <w:tcPr>
            <w:tcW w:w="5016" w:type="dxa"/>
            <w:vAlign w:val="center"/>
          </w:tcPr>
          <w:p>
            <w:pPr>
              <w:autoSpaceDE w:val="0"/>
              <w:snapToGrid w:val="0"/>
              <w:rPr>
                <w:rFonts w:cs="Arial"/>
              </w:rPr>
            </w:pPr>
            <w:r>
              <w:rPr>
                <w:rFonts w:cs="Arial"/>
              </w:rPr>
              <w:t>Imposto de Renda – Fonte – Empregados</w:t>
            </w:r>
          </w:p>
        </w:tc>
        <w:tc>
          <w:tcPr>
            <w:tcW w:w="1265" w:type="dxa"/>
            <w:vAlign w:val="center"/>
          </w:tcPr>
          <w:p>
            <w:pPr>
              <w:autoSpaceDE w:val="0"/>
              <w:snapToGrid w:val="0"/>
              <w:jc w:val="right"/>
              <w:rPr>
                <w:rFonts w:cs="Arial"/>
              </w:rPr>
            </w:pPr>
            <w:r>
              <w:rPr>
                <w:rFonts w:cs="Arial"/>
              </w:rPr>
              <w:t>891</w:t>
            </w:r>
          </w:p>
        </w:tc>
        <w:tc>
          <w:tcPr>
            <w:tcW w:w="1145" w:type="dxa"/>
            <w:vAlign w:val="center"/>
          </w:tcPr>
          <w:p>
            <w:pPr>
              <w:autoSpaceDE w:val="0"/>
              <w:snapToGrid w:val="0"/>
              <w:jc w:val="right"/>
              <w:rPr>
                <w:rFonts w:cs="Arial"/>
              </w:rPr>
            </w:pPr>
            <w:r>
              <w:rPr>
                <w:rFonts w:cs="Arial"/>
              </w:rPr>
              <w:t>-</w:t>
            </w:r>
          </w:p>
        </w:tc>
        <w:tc>
          <w:tcPr>
            <w:tcW w:w="1133" w:type="dxa"/>
            <w:vAlign w:val="center"/>
          </w:tcPr>
          <w:p>
            <w:pPr>
              <w:autoSpaceDE w:val="0"/>
              <w:snapToGrid w:val="0"/>
              <w:jc w:val="right"/>
              <w:rPr>
                <w:rFonts w:cs="Arial"/>
              </w:rPr>
            </w:pPr>
            <w:r>
              <w:rPr>
                <w:rFonts w:cs="Arial"/>
              </w:rPr>
              <w:t>1.276</w:t>
            </w:r>
          </w:p>
        </w:tc>
        <w:tc>
          <w:tcPr>
            <w:tcW w:w="1134" w:type="dxa"/>
            <w:vAlign w:val="center"/>
          </w:tcPr>
          <w:p>
            <w:pPr>
              <w:autoSpaceDE w:val="0"/>
              <w:snapToGrid w:val="0"/>
              <w:jc w:val="right"/>
              <w:rPr>
                <w:rFonts w:cs="Arial"/>
              </w:rPr>
            </w:pPr>
            <w:r>
              <w:rPr>
                <w:rFonts w:cs="Arial"/>
              </w:rPr>
              <w:t>-</w:t>
            </w:r>
          </w:p>
        </w:tc>
      </w:tr>
      <w:tr>
        <w:trPr>
          <w:trHeight w:val="284"/>
        </w:trPr>
        <w:tc>
          <w:tcPr>
            <w:tcW w:w="5016" w:type="dxa"/>
            <w:vAlign w:val="center"/>
          </w:tcPr>
          <w:p>
            <w:pPr>
              <w:autoSpaceDE w:val="0"/>
              <w:snapToGrid w:val="0"/>
              <w:rPr>
                <w:rFonts w:cs="Arial"/>
              </w:rPr>
            </w:pPr>
            <w:r>
              <w:rPr>
                <w:rFonts w:cs="Arial"/>
              </w:rPr>
              <w:t>ISS de Terceiros</w:t>
            </w:r>
          </w:p>
        </w:tc>
        <w:tc>
          <w:tcPr>
            <w:tcW w:w="1265" w:type="dxa"/>
            <w:vAlign w:val="center"/>
          </w:tcPr>
          <w:p>
            <w:pPr>
              <w:autoSpaceDE w:val="0"/>
              <w:snapToGrid w:val="0"/>
              <w:jc w:val="right"/>
              <w:rPr>
                <w:rFonts w:cs="Arial"/>
              </w:rPr>
            </w:pPr>
            <w:r>
              <w:rPr>
                <w:rFonts w:cs="Arial"/>
              </w:rPr>
              <w:t>349</w:t>
            </w:r>
          </w:p>
        </w:tc>
        <w:tc>
          <w:tcPr>
            <w:tcW w:w="1145" w:type="dxa"/>
            <w:vAlign w:val="center"/>
          </w:tcPr>
          <w:p>
            <w:pPr>
              <w:autoSpaceDE w:val="0"/>
              <w:snapToGrid w:val="0"/>
              <w:jc w:val="right"/>
              <w:rPr>
                <w:rFonts w:cs="Arial"/>
              </w:rPr>
            </w:pPr>
            <w:r>
              <w:rPr>
                <w:rFonts w:cs="Arial"/>
              </w:rPr>
              <w:t>-</w:t>
            </w:r>
          </w:p>
        </w:tc>
        <w:tc>
          <w:tcPr>
            <w:tcW w:w="1133" w:type="dxa"/>
            <w:vAlign w:val="center"/>
          </w:tcPr>
          <w:p>
            <w:pPr>
              <w:autoSpaceDE w:val="0"/>
              <w:snapToGrid w:val="0"/>
              <w:jc w:val="right"/>
              <w:rPr>
                <w:rFonts w:cs="Arial"/>
              </w:rPr>
            </w:pPr>
            <w:r>
              <w:rPr>
                <w:rFonts w:cs="Arial"/>
              </w:rPr>
              <w:t>236</w:t>
            </w:r>
          </w:p>
        </w:tc>
        <w:tc>
          <w:tcPr>
            <w:tcW w:w="1134" w:type="dxa"/>
            <w:vAlign w:val="center"/>
          </w:tcPr>
          <w:p>
            <w:pPr>
              <w:autoSpaceDE w:val="0"/>
              <w:snapToGrid w:val="0"/>
              <w:jc w:val="right"/>
              <w:rPr>
                <w:rFonts w:cs="Arial"/>
              </w:rPr>
            </w:pPr>
            <w:r>
              <w:rPr>
                <w:rFonts w:cs="Arial"/>
              </w:rPr>
              <w:t>-</w:t>
            </w:r>
          </w:p>
        </w:tc>
      </w:tr>
      <w:tr>
        <w:trPr>
          <w:trHeight w:val="284"/>
        </w:trPr>
        <w:tc>
          <w:tcPr>
            <w:tcW w:w="5016" w:type="dxa"/>
            <w:vAlign w:val="center"/>
          </w:tcPr>
          <w:p>
            <w:pPr>
              <w:autoSpaceDE w:val="0"/>
              <w:snapToGrid w:val="0"/>
              <w:rPr>
                <w:rFonts w:cs="Arial"/>
              </w:rPr>
            </w:pPr>
            <w:r>
              <w:rPr>
                <w:rFonts w:cs="Arial"/>
              </w:rPr>
              <w:t>ISS – Empresa</w:t>
            </w:r>
          </w:p>
        </w:tc>
        <w:tc>
          <w:tcPr>
            <w:tcW w:w="1265" w:type="dxa"/>
            <w:vAlign w:val="center"/>
          </w:tcPr>
          <w:p>
            <w:pPr>
              <w:autoSpaceDE w:val="0"/>
              <w:snapToGrid w:val="0"/>
              <w:jc w:val="right"/>
              <w:rPr>
                <w:rFonts w:cs="Arial"/>
              </w:rPr>
            </w:pPr>
            <w:r>
              <w:rPr>
                <w:rFonts w:cs="Arial"/>
              </w:rPr>
              <w:t>131</w:t>
            </w:r>
          </w:p>
        </w:tc>
        <w:tc>
          <w:tcPr>
            <w:tcW w:w="1145" w:type="dxa"/>
            <w:vAlign w:val="center"/>
          </w:tcPr>
          <w:p>
            <w:pPr>
              <w:autoSpaceDE w:val="0"/>
              <w:snapToGrid w:val="0"/>
              <w:jc w:val="right"/>
              <w:rPr>
                <w:rFonts w:cs="Arial"/>
              </w:rPr>
            </w:pPr>
            <w:r>
              <w:rPr>
                <w:rFonts w:cs="Arial"/>
              </w:rPr>
              <w:t>-</w:t>
            </w:r>
          </w:p>
        </w:tc>
        <w:tc>
          <w:tcPr>
            <w:tcW w:w="1133" w:type="dxa"/>
            <w:vAlign w:val="center"/>
          </w:tcPr>
          <w:p>
            <w:pPr>
              <w:autoSpaceDE w:val="0"/>
              <w:snapToGrid w:val="0"/>
              <w:jc w:val="right"/>
              <w:rPr>
                <w:rFonts w:cs="Arial"/>
              </w:rPr>
            </w:pPr>
            <w:r>
              <w:rPr>
                <w:rFonts w:cs="Arial"/>
              </w:rPr>
              <w:t>44</w:t>
            </w:r>
          </w:p>
        </w:tc>
        <w:tc>
          <w:tcPr>
            <w:tcW w:w="1134" w:type="dxa"/>
            <w:vAlign w:val="center"/>
          </w:tcPr>
          <w:p>
            <w:pPr>
              <w:autoSpaceDE w:val="0"/>
              <w:snapToGrid w:val="0"/>
              <w:jc w:val="right"/>
              <w:rPr>
                <w:rFonts w:cs="Arial"/>
              </w:rPr>
            </w:pPr>
            <w:r>
              <w:rPr>
                <w:rFonts w:cs="Arial"/>
              </w:rPr>
              <w:t>-</w:t>
            </w:r>
          </w:p>
        </w:tc>
      </w:tr>
      <w:tr>
        <w:trPr>
          <w:trHeight w:val="353"/>
        </w:trPr>
        <w:tc>
          <w:tcPr>
            <w:tcW w:w="5016" w:type="dxa"/>
            <w:vAlign w:val="bottom"/>
          </w:tcPr>
          <w:p>
            <w:pPr>
              <w:pStyle w:val="Ttulo7"/>
              <w:rPr>
                <w:color w:val="auto"/>
              </w:rPr>
            </w:pPr>
          </w:p>
        </w:tc>
        <w:tc>
          <w:tcPr>
            <w:tcW w:w="1265" w:type="dxa"/>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58.833</w:t>
            </w:r>
          </w:p>
        </w:tc>
        <w:tc>
          <w:tcPr>
            <w:tcW w:w="1145" w:type="dxa"/>
            <w:vAlign w:val="center"/>
          </w:tcPr>
          <w:p>
            <w:pPr>
              <w:pBdr>
                <w:top w:val="single" w:sz="4" w:space="1" w:color="000000"/>
                <w:bottom w:val="double" w:sz="1" w:space="1" w:color="000000"/>
              </w:pBdr>
              <w:autoSpaceDE w:val="0"/>
              <w:snapToGrid w:val="0"/>
              <w:jc w:val="right"/>
              <w:rPr>
                <w:rFonts w:cs="Arial"/>
                <w:b/>
              </w:rPr>
            </w:pPr>
            <w:r>
              <w:rPr>
                <w:rFonts w:cs="Arial"/>
                <w:b/>
              </w:rPr>
              <w:t>13.859</w:t>
            </w:r>
          </w:p>
        </w:tc>
        <w:tc>
          <w:tcPr>
            <w:tcW w:w="1133" w:type="dxa"/>
            <w:vAlign w:val="center"/>
          </w:tcPr>
          <w:p>
            <w:pPr>
              <w:pBdr>
                <w:top w:val="single" w:sz="4" w:space="1" w:color="000000"/>
                <w:bottom w:val="double" w:sz="1" w:space="1" w:color="000000"/>
              </w:pBdr>
              <w:autoSpaceDE w:val="0"/>
              <w:snapToGrid w:val="0"/>
              <w:ind w:left="337" w:hanging="337"/>
              <w:jc w:val="right"/>
              <w:rPr>
                <w:rFonts w:cs="Arial"/>
                <w:b/>
              </w:rPr>
            </w:pPr>
            <w:r>
              <w:rPr>
                <w:rFonts w:cs="Arial"/>
                <w:b/>
              </w:rPr>
              <w:t>31.409</w:t>
            </w:r>
          </w:p>
        </w:tc>
        <w:tc>
          <w:tcPr>
            <w:tcW w:w="1134" w:type="dxa"/>
            <w:vAlign w:val="center"/>
          </w:tcPr>
          <w:p>
            <w:pPr>
              <w:pBdr>
                <w:top w:val="single" w:sz="4" w:space="1" w:color="000000"/>
                <w:bottom w:val="double" w:sz="1" w:space="1" w:color="000000"/>
              </w:pBdr>
              <w:autoSpaceDE w:val="0"/>
              <w:snapToGrid w:val="0"/>
              <w:jc w:val="right"/>
              <w:rPr>
                <w:rFonts w:cs="Arial"/>
                <w:b/>
              </w:rPr>
            </w:pPr>
            <w:r>
              <w:rPr>
                <w:rFonts w:cs="Arial"/>
                <w:b/>
              </w:rPr>
              <w:t>14.095</w:t>
            </w:r>
          </w:p>
        </w:tc>
      </w:tr>
    </w:tbl>
    <w:p>
      <w:pPr>
        <w:pStyle w:val="WW-Recuodecorpodetexto2"/>
        <w:tabs>
          <w:tab w:val="left" w:pos="567"/>
        </w:tabs>
        <w:rPr>
          <w:szCs w:val="22"/>
        </w:rPr>
      </w:pPr>
      <w:r>
        <w:rPr>
          <w:szCs w:val="22"/>
        </w:rPr>
        <w:tab/>
      </w:r>
    </w:p>
    <w:p>
      <w:pPr>
        <w:pStyle w:val="WW-Recuodecorpodetexto2"/>
        <w:tabs>
          <w:tab w:val="left" w:pos="567"/>
        </w:tabs>
        <w:rPr>
          <w:szCs w:val="22"/>
        </w:rPr>
      </w:pPr>
      <w:r>
        <w:rPr>
          <w:szCs w:val="22"/>
        </w:rPr>
        <w:tab/>
        <w:t>Correspondem às retenções tributárias e outras obrigações.</w:t>
      </w:r>
    </w:p>
    <w:p>
      <w:pPr>
        <w:rPr>
          <w:rFonts w:cs="Arial"/>
          <w:szCs w:val="22"/>
        </w:rPr>
      </w:pPr>
    </w:p>
    <w:p>
      <w:pPr>
        <w:pStyle w:val="Ttulo2"/>
        <w:rPr>
          <w:rStyle w:val="Ttulo2Char"/>
          <w:b/>
        </w:rPr>
      </w:pPr>
      <w:bookmarkStart w:id="93" w:name="_18.1._Impostos_e"/>
      <w:bookmarkStart w:id="94" w:name="_Toc41376127"/>
      <w:bookmarkEnd w:id="93"/>
      <w:r>
        <w:rPr>
          <w:rStyle w:val="Ttulo2Char"/>
          <w:b/>
        </w:rPr>
        <w:t>18.1. Impostos e Taxas Municipais</w:t>
      </w:r>
      <w:bookmarkEnd w:id="94"/>
    </w:p>
    <w:p>
      <w:pPr>
        <w:ind w:firstLine="435"/>
        <w:rPr>
          <w:rFonts w:cs="Arial"/>
          <w:szCs w:val="22"/>
        </w:rPr>
      </w:pPr>
      <w:r>
        <w:rPr>
          <w:rFonts w:cs="Arial"/>
          <w:szCs w:val="22"/>
        </w:rPr>
        <w:t xml:space="preserve">Correspondem ao IPTU e taxas a pagar. Do saldo em aberto, o valor do IPTU atualizado, referente ao exercício de 2019 totaliza R$ 22,826 milhões e contempla o valor de IPTU complementar. Este foi reconhecido no terceiro trimestre de 2019 e é resultado de processo de regularização de construção pela Prefeitura do Município de São Paulo em operação de vistoria de imóvel no </w:t>
      </w:r>
      <w:r>
        <w:rPr>
          <w:rFonts w:cs="Arial"/>
          <w:bCs/>
        </w:rPr>
        <w:t>Entreposto Terminal de São Paulo - ETSP</w:t>
      </w:r>
      <w:r>
        <w:rPr>
          <w:rFonts w:cs="Arial"/>
          <w:szCs w:val="22"/>
        </w:rPr>
        <w:t>, referente ao período de 2014 a 2019. As parcelas não atualizadas de IPTU de 2019 totalizaram R$ 6,775 milhões e IPTU complementar R$10,584 milhões.</w:t>
      </w:r>
    </w:p>
    <w:p>
      <w:pPr>
        <w:rPr>
          <w:rFonts w:cs="Arial"/>
          <w:szCs w:val="22"/>
        </w:rPr>
      </w:pPr>
    </w:p>
    <w:p>
      <w:pPr>
        <w:pStyle w:val="Ttulo2"/>
        <w:rPr>
          <w:rStyle w:val="Ttulo2Char"/>
          <w:b/>
        </w:rPr>
      </w:pPr>
      <w:bookmarkStart w:id="95" w:name="_18.2._ICMS_a"/>
      <w:bookmarkStart w:id="96" w:name="_Toc41376128"/>
      <w:bookmarkEnd w:id="95"/>
      <w:r>
        <w:rPr>
          <w:rStyle w:val="Ttulo2Char"/>
          <w:b/>
        </w:rPr>
        <w:t>18.2. Programa Parcelamento Incentivado/PMSP – PPI</w:t>
      </w:r>
      <w:bookmarkEnd w:id="96"/>
    </w:p>
    <w:p>
      <w:pPr>
        <w:ind w:firstLine="435"/>
        <w:rPr>
          <w:rFonts w:cs="Arial"/>
          <w:szCs w:val="22"/>
        </w:rPr>
      </w:pPr>
      <w:r>
        <w:rPr>
          <w:rFonts w:cs="Arial"/>
          <w:szCs w:val="22"/>
        </w:rPr>
        <w:t>São os débitos de IPTU devidos à Prefeitura do Município de São Paulo, anteriores ao exercício de 2009 e atualizados até a data destas demonstrações intermediárias.</w:t>
      </w:r>
    </w:p>
    <w:p>
      <w:pPr>
        <w:rPr>
          <w:rFonts w:cs="Arial"/>
          <w:szCs w:val="22"/>
        </w:rPr>
      </w:pPr>
    </w:p>
    <w:p>
      <w:pPr>
        <w:pStyle w:val="Ttulo2"/>
        <w:rPr>
          <w:rStyle w:val="Ttulo2Char"/>
          <w:b/>
        </w:rPr>
      </w:pPr>
      <w:bookmarkStart w:id="97" w:name="_Toc41376129"/>
      <w:r>
        <w:rPr>
          <w:rStyle w:val="Ttulo2Char"/>
          <w:b/>
        </w:rPr>
        <w:t>18.3. Programa de Recuperação Fiscal – Refis</w:t>
      </w:r>
      <w:bookmarkEnd w:id="97"/>
    </w:p>
    <w:p>
      <w:pPr>
        <w:ind w:firstLine="435"/>
        <w:rPr>
          <w:rFonts w:cs="Arial"/>
          <w:szCs w:val="22"/>
        </w:rPr>
      </w:pPr>
      <w:r>
        <w:rPr>
          <w:rFonts w:cs="Arial"/>
          <w:szCs w:val="22"/>
        </w:rPr>
        <w:t xml:space="preserve">Equivale a débitos de Pasep, </w:t>
      </w:r>
      <w:proofErr w:type="spellStart"/>
      <w:r>
        <w:rPr>
          <w:rFonts w:cs="Arial"/>
          <w:szCs w:val="22"/>
        </w:rPr>
        <w:t>Cofins</w:t>
      </w:r>
      <w:proofErr w:type="spellEnd"/>
      <w:r>
        <w:rPr>
          <w:rFonts w:cs="Arial"/>
          <w:szCs w:val="22"/>
        </w:rPr>
        <w:t>, IRPJ e CSLL devidos à Receita Federal do Brasil - RFB anteriores ao exercício de 2008. O débito total é de R$ 5,851 milhões.</w:t>
      </w:r>
    </w:p>
    <w:p>
      <w:pPr>
        <w:rPr>
          <w:rFonts w:cs="Arial"/>
          <w:szCs w:val="22"/>
        </w:rPr>
      </w:pPr>
    </w:p>
    <w:p>
      <w:pPr>
        <w:pStyle w:val="Ttulo2"/>
        <w:rPr>
          <w:rStyle w:val="Ttulo2Char"/>
          <w:b/>
        </w:rPr>
      </w:pPr>
      <w:bookmarkStart w:id="98" w:name="_18.4.Taxa_de_Lixo"/>
      <w:bookmarkStart w:id="99" w:name="_18.4._ICMS_a"/>
      <w:bookmarkStart w:id="100" w:name="_Toc41376130"/>
      <w:bookmarkEnd w:id="98"/>
      <w:bookmarkEnd w:id="99"/>
      <w:r>
        <w:rPr>
          <w:rStyle w:val="Ttulo2Char"/>
          <w:b/>
        </w:rPr>
        <w:t>18.4.Taxa de Lixo</w:t>
      </w:r>
      <w:bookmarkEnd w:id="100"/>
    </w:p>
    <w:p>
      <w:pPr>
        <w:ind w:firstLine="435"/>
        <w:rPr>
          <w:rFonts w:cs="Arial"/>
          <w:szCs w:val="22"/>
        </w:rPr>
      </w:pPr>
      <w:r>
        <w:rPr>
          <w:rFonts w:cs="Arial"/>
          <w:szCs w:val="22"/>
        </w:rPr>
        <w:t>O total de R$ 10,565 milhões contabilizados no passivo circulante e não circulante é resultado da condenação judicial do processo movido pela Prefeitura do Município de São Paulo relativo a diferenças tarifárias do contrato de serviço de deposição de lixo nos aterros sanitários, referentes ao exercício de 2001. A dívida foi reconhecida durante o exercício de 2018 e parcelada em 120 meses.</w:t>
      </w:r>
    </w:p>
    <w:p>
      <w:pPr>
        <w:pStyle w:val="Ttulo2"/>
        <w:rPr>
          <w:rStyle w:val="Ttulo2Char"/>
          <w:b/>
        </w:rPr>
      </w:pPr>
    </w:p>
    <w:p>
      <w:pPr>
        <w:pStyle w:val="Ttulo2"/>
        <w:rPr>
          <w:rStyle w:val="Ttulo2Char"/>
          <w:b/>
        </w:rPr>
      </w:pPr>
      <w:bookmarkStart w:id="101" w:name="_Toc41376131"/>
      <w:r>
        <w:rPr>
          <w:rStyle w:val="Ttulo2Char"/>
          <w:b/>
        </w:rPr>
        <w:t>18.5. ICMS a Recolher</w:t>
      </w:r>
      <w:bookmarkEnd w:id="101"/>
    </w:p>
    <w:p>
      <w:pPr>
        <w:ind w:firstLine="435"/>
        <w:rPr>
          <w:b/>
          <w:szCs w:val="22"/>
        </w:rPr>
      </w:pPr>
      <w:r>
        <w:rPr>
          <w:rFonts w:cs="Arial"/>
          <w:szCs w:val="22"/>
        </w:rPr>
        <w:t xml:space="preserve">Esta conta contempla 2 parcelamentos de ICMS: a) Parcelamento em 36 meses, do valor do Auto de Infração e Imposição de Multa – AIIM da Unidade de Tupã, com pagamento da primeira parcela em agosto de 2018 e término em julho de 2021; valor da parcela mensal de R$ 3 mil; b) </w:t>
      </w:r>
      <w:proofErr w:type="spellStart"/>
      <w:r>
        <w:rPr>
          <w:rFonts w:cs="Arial"/>
          <w:szCs w:val="22"/>
        </w:rPr>
        <w:t>Reparcelamento</w:t>
      </w:r>
      <w:proofErr w:type="spellEnd"/>
      <w:r>
        <w:rPr>
          <w:rFonts w:cs="Arial"/>
          <w:szCs w:val="22"/>
        </w:rPr>
        <w:t xml:space="preserve"> de débito fiscal de ICMS em Programa Especial de Parcelamento do Estado de São Paulo, da Unidade armazenadora de Fernandópolis, em 12 meses de R$ 109 mil, com início do pagamento em dezembro de 2019 e término em novembro de 2020.</w:t>
      </w:r>
    </w:p>
    <w:p>
      <w:pPr>
        <w:rPr>
          <w:rFonts w:cs="Arial"/>
          <w:szCs w:val="22"/>
        </w:rPr>
      </w:pPr>
      <w:bookmarkStart w:id="102" w:name="_18.5.Taxa_de_Lixo"/>
      <w:bookmarkEnd w:id="102"/>
    </w:p>
    <w:p>
      <w:pPr>
        <w:jc w:val="left"/>
        <w:rPr>
          <w:rFonts w:cs="Arial"/>
          <w:szCs w:val="22"/>
        </w:rPr>
      </w:pPr>
      <w:bookmarkStart w:id="103" w:name="_18.5._ICMS_a"/>
      <w:bookmarkStart w:id="104" w:name="_18.4_–_Taxa"/>
      <w:bookmarkEnd w:id="103"/>
      <w:bookmarkEnd w:id="104"/>
    </w:p>
    <w:p>
      <w:pPr>
        <w:pStyle w:val="Ttulo1"/>
        <w:rPr>
          <w:rFonts w:cs="Arial"/>
        </w:rPr>
      </w:pPr>
      <w:bookmarkStart w:id="105" w:name="_19._ENCARGOS_A_1"/>
      <w:bookmarkStart w:id="106" w:name="_Toc41376132"/>
      <w:bookmarkEnd w:id="105"/>
      <w:r>
        <w:rPr>
          <w:bCs/>
        </w:rPr>
        <w:t>19.</w:t>
      </w:r>
      <w:r>
        <w:rPr>
          <w:bCs/>
        </w:rPr>
        <w:tab/>
      </w:r>
      <w:r>
        <w:t>ENCARGOS A PAGAR</w:t>
      </w:r>
      <w:bookmarkEnd w:id="106"/>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1"/>
              <w:rPr>
                <w:bCs/>
              </w:rPr>
            </w:pPr>
            <w:bookmarkStart w:id="107" w:name="_20._ENCARGOS_A"/>
            <w:bookmarkStart w:id="108" w:name="_19._ENCARGOS_A"/>
            <w:bookmarkEnd w:id="107"/>
            <w:bookmarkEnd w:id="108"/>
          </w:p>
        </w:tc>
        <w:tc>
          <w:tcPr>
            <w:tcW w:w="1843"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31.03.2020</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31.12.2019</w:t>
            </w:r>
          </w:p>
        </w:tc>
      </w:tr>
      <w:tr>
        <w:trPr>
          <w:trHeight w:val="281"/>
        </w:trPr>
        <w:tc>
          <w:tcPr>
            <w:tcW w:w="6008" w:type="dxa"/>
          </w:tcPr>
          <w:p>
            <w:pPr>
              <w:rPr>
                <w:rFonts w:cs="Arial"/>
              </w:rPr>
            </w:pPr>
            <w:r>
              <w:rPr>
                <w:rFonts w:cs="Arial"/>
              </w:rPr>
              <w:t>Ordenados a Pagar</w:t>
            </w:r>
          </w:p>
        </w:tc>
        <w:tc>
          <w:tcPr>
            <w:tcW w:w="1843" w:type="dxa"/>
          </w:tcPr>
          <w:p>
            <w:pPr>
              <w:jc w:val="right"/>
              <w:rPr>
                <w:rFonts w:cs="Arial"/>
              </w:rPr>
            </w:pPr>
            <w:r>
              <w:rPr>
                <w:rFonts w:cs="Arial"/>
              </w:rPr>
              <w:t>2.689</w:t>
            </w:r>
          </w:p>
        </w:tc>
        <w:tc>
          <w:tcPr>
            <w:tcW w:w="1842" w:type="dxa"/>
            <w:gridSpan w:val="2"/>
          </w:tcPr>
          <w:p>
            <w:pPr>
              <w:jc w:val="right"/>
              <w:rPr>
                <w:rFonts w:cs="Arial"/>
              </w:rPr>
            </w:pPr>
            <w:r>
              <w:rPr>
                <w:rFonts w:cs="Arial"/>
              </w:rPr>
              <w:t>1.898</w:t>
            </w:r>
          </w:p>
        </w:tc>
      </w:tr>
      <w:tr>
        <w:trPr>
          <w:trHeight w:val="281"/>
        </w:trPr>
        <w:tc>
          <w:tcPr>
            <w:tcW w:w="6008" w:type="dxa"/>
          </w:tcPr>
          <w:p>
            <w:pPr>
              <w:rPr>
                <w:rFonts w:cs="Arial"/>
              </w:rPr>
            </w:pPr>
            <w:r>
              <w:rPr>
                <w:rFonts w:cs="Arial"/>
              </w:rPr>
              <w:t>Processos Judiciais e Trabalhistas</w:t>
            </w:r>
          </w:p>
        </w:tc>
        <w:tc>
          <w:tcPr>
            <w:tcW w:w="1843" w:type="dxa"/>
          </w:tcPr>
          <w:p>
            <w:pPr>
              <w:jc w:val="right"/>
              <w:rPr>
                <w:rFonts w:cs="Arial"/>
              </w:rPr>
            </w:pPr>
            <w:r>
              <w:rPr>
                <w:rFonts w:cs="Arial"/>
              </w:rPr>
              <w:t>1.211</w:t>
            </w:r>
          </w:p>
        </w:tc>
        <w:tc>
          <w:tcPr>
            <w:tcW w:w="1842" w:type="dxa"/>
            <w:gridSpan w:val="2"/>
          </w:tcPr>
          <w:p>
            <w:pPr>
              <w:jc w:val="right"/>
              <w:rPr>
                <w:rFonts w:cs="Arial"/>
              </w:rPr>
            </w:pPr>
            <w:r>
              <w:rPr>
                <w:rFonts w:cs="Arial"/>
              </w:rPr>
              <w:t>2.004</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3.900</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3.902</w:t>
            </w:r>
          </w:p>
        </w:tc>
      </w:tr>
    </w:tbl>
    <w:p>
      <w:pPr>
        <w:pStyle w:val="Ttulo2"/>
        <w:rPr>
          <w:rStyle w:val="Ttulo2Char"/>
          <w:b/>
        </w:rPr>
      </w:pPr>
      <w:bookmarkStart w:id="109" w:name="_Toc41376133"/>
      <w:r>
        <w:rPr>
          <w:rStyle w:val="Ttulo2Char"/>
          <w:b/>
        </w:rPr>
        <w:t>19.1. Ordenados a Pagar</w:t>
      </w:r>
      <w:bookmarkEnd w:id="109"/>
    </w:p>
    <w:p>
      <w:pPr>
        <w:ind w:firstLine="435"/>
        <w:rPr>
          <w:rFonts w:cs="Arial"/>
        </w:rPr>
      </w:pPr>
      <w:r>
        <w:rPr>
          <w:rFonts w:cs="Arial"/>
        </w:rPr>
        <w:t xml:space="preserve">O aumento no saldo em relação a 2019 corresponde ao reajuste em março de 2020, dos salários vigentes em 31 de maio de 2019, pelo percentual de 4,77% do Dissídio Coletivo 2019 – 2020, com data-base 1º de junho de 2019, conforme decisão judicial dos autos. Ficou acordado entre a CEAGESP e o sindicato da categoria a correção imediata dos salários a partir de março de 2020 e o parcelamento dos retroativos em 4 parcelas, sendo a primeira no mês de março. </w:t>
      </w:r>
    </w:p>
    <w:p>
      <w:pPr>
        <w:rPr>
          <w:rFonts w:cs="Arial"/>
          <w:b/>
        </w:rPr>
      </w:pPr>
    </w:p>
    <w:p>
      <w:pPr>
        <w:pStyle w:val="Ttulo2"/>
        <w:rPr>
          <w:rStyle w:val="Ttulo2Char"/>
          <w:b/>
        </w:rPr>
      </w:pPr>
      <w:bookmarkStart w:id="110" w:name="_19.2._Processos_Judiciais"/>
      <w:bookmarkStart w:id="111" w:name="_19.1._Processos_Judiciais"/>
      <w:bookmarkStart w:id="112" w:name="_Toc41376134"/>
      <w:bookmarkEnd w:id="110"/>
      <w:bookmarkEnd w:id="111"/>
      <w:r>
        <w:rPr>
          <w:rStyle w:val="Ttulo2Char"/>
          <w:b/>
        </w:rPr>
        <w:t>19.2. Processos Judiciais e Trabalhistas</w:t>
      </w:r>
      <w:bookmarkEnd w:id="112"/>
    </w:p>
    <w:p>
      <w:pPr>
        <w:ind w:firstLine="435"/>
      </w:pPr>
      <w:r>
        <w:t xml:space="preserve">Correspondem a parcelamentos e acordos judiciais realizados pela Companhia, decorrentes de processos: a) cíveis: acordo judicial de ação moratória referente ao processo de indenização a um cliente da Unidade armazenadora de Tatuí, no valor de R$ 770 mil, assinado em junho de 2019 e parcelado em 15 vezes iguais de R$ 154 mil cada, com início do pagamento em junho de 2019 e término em agosto de 2020; e b) trabalhistas: movidos por ex-funcionários e funcionários da CEAGESP e de empresas de serviços terceirizados nas quais a Ceagesp possui responsabilidade subsidiária. </w:t>
      </w:r>
    </w:p>
    <w:p>
      <w:pPr>
        <w:pStyle w:val="WW-Recuodecorpodetexto2"/>
        <w:tabs>
          <w:tab w:val="left" w:pos="567"/>
        </w:tabs>
        <w:rPr>
          <w:b/>
          <w:bCs/>
          <w:szCs w:val="22"/>
        </w:rPr>
      </w:pPr>
    </w:p>
    <w:p>
      <w:pPr>
        <w:pStyle w:val="Ttulo1"/>
        <w:rPr>
          <w:bCs/>
          <w:szCs w:val="22"/>
        </w:rPr>
      </w:pPr>
      <w:bookmarkStart w:id="113" w:name="_20._CONTAS_A_1"/>
      <w:bookmarkStart w:id="114" w:name="_Toc41376135"/>
      <w:bookmarkEnd w:id="113"/>
      <w:r>
        <w:t>20.</w:t>
      </w:r>
      <w:r>
        <w:tab/>
        <w:t>CONTAS A PAGAR</w:t>
      </w:r>
      <w:bookmarkEnd w:id="114"/>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1"/>
            </w:pPr>
            <w:bookmarkStart w:id="115" w:name="_21._CONTAS_A"/>
            <w:bookmarkStart w:id="116" w:name="_20._CONTAS_A"/>
            <w:bookmarkEnd w:id="115"/>
            <w:bookmarkEnd w:id="116"/>
          </w:p>
        </w:tc>
        <w:tc>
          <w:tcPr>
            <w:tcW w:w="1843"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31.03.2020</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31.12.2019</w:t>
            </w:r>
          </w:p>
        </w:tc>
      </w:tr>
      <w:tr>
        <w:trPr>
          <w:trHeight w:val="281"/>
        </w:trPr>
        <w:tc>
          <w:tcPr>
            <w:tcW w:w="6008" w:type="dxa"/>
          </w:tcPr>
          <w:p>
            <w:pPr>
              <w:rPr>
                <w:rFonts w:cs="Arial"/>
              </w:rPr>
            </w:pPr>
            <w:r>
              <w:rPr>
                <w:rFonts w:cs="Arial"/>
              </w:rPr>
              <w:t>Convênio SEAP</w:t>
            </w:r>
          </w:p>
        </w:tc>
        <w:tc>
          <w:tcPr>
            <w:tcW w:w="1843" w:type="dxa"/>
          </w:tcPr>
          <w:p>
            <w:pPr>
              <w:jc w:val="right"/>
              <w:rPr>
                <w:rFonts w:cs="Arial"/>
              </w:rPr>
            </w:pPr>
            <w:r>
              <w:rPr>
                <w:rFonts w:cs="Arial"/>
              </w:rPr>
              <w:t>1.482</w:t>
            </w:r>
          </w:p>
        </w:tc>
        <w:tc>
          <w:tcPr>
            <w:tcW w:w="1842" w:type="dxa"/>
            <w:gridSpan w:val="2"/>
          </w:tcPr>
          <w:p>
            <w:pPr>
              <w:jc w:val="right"/>
              <w:rPr>
                <w:rFonts w:cs="Arial"/>
              </w:rPr>
            </w:pPr>
            <w:r>
              <w:rPr>
                <w:rFonts w:cs="Arial"/>
              </w:rPr>
              <w:t>-</w:t>
            </w:r>
          </w:p>
        </w:tc>
      </w:tr>
      <w:tr>
        <w:trPr>
          <w:trHeight w:val="281"/>
        </w:trPr>
        <w:tc>
          <w:tcPr>
            <w:tcW w:w="6008" w:type="dxa"/>
            <w:vAlign w:val="center"/>
          </w:tcPr>
          <w:p>
            <w:pPr>
              <w:rPr>
                <w:rFonts w:cs="Arial"/>
              </w:rPr>
            </w:pPr>
            <w:r>
              <w:rPr>
                <w:rFonts w:cs="Arial"/>
              </w:rPr>
              <w:t>Correntistas Credores</w:t>
            </w:r>
          </w:p>
        </w:tc>
        <w:tc>
          <w:tcPr>
            <w:tcW w:w="1843" w:type="dxa"/>
          </w:tcPr>
          <w:p>
            <w:pPr>
              <w:jc w:val="right"/>
              <w:rPr>
                <w:rFonts w:cs="Arial"/>
              </w:rPr>
            </w:pPr>
            <w:r>
              <w:rPr>
                <w:rFonts w:cs="Arial"/>
              </w:rPr>
              <w:t>1.157</w:t>
            </w:r>
          </w:p>
        </w:tc>
        <w:tc>
          <w:tcPr>
            <w:tcW w:w="1842" w:type="dxa"/>
            <w:gridSpan w:val="2"/>
          </w:tcPr>
          <w:p>
            <w:pPr>
              <w:jc w:val="right"/>
              <w:rPr>
                <w:rFonts w:cs="Arial"/>
              </w:rPr>
            </w:pPr>
            <w:r>
              <w:rPr>
                <w:rFonts w:cs="Arial"/>
              </w:rPr>
              <w:t>1.153</w:t>
            </w:r>
          </w:p>
        </w:tc>
      </w:tr>
      <w:tr>
        <w:trPr>
          <w:trHeight w:val="281"/>
        </w:trPr>
        <w:tc>
          <w:tcPr>
            <w:tcW w:w="6008" w:type="dxa"/>
          </w:tcPr>
          <w:p>
            <w:pPr>
              <w:rPr>
                <w:rFonts w:cs="Arial"/>
              </w:rPr>
            </w:pPr>
            <w:r>
              <w:rPr>
                <w:rFonts w:cs="Arial"/>
              </w:rPr>
              <w:t>Contas a Pagar Diversos</w:t>
            </w:r>
          </w:p>
        </w:tc>
        <w:tc>
          <w:tcPr>
            <w:tcW w:w="1843" w:type="dxa"/>
          </w:tcPr>
          <w:p>
            <w:pPr>
              <w:jc w:val="right"/>
              <w:rPr>
                <w:rFonts w:cs="Arial"/>
              </w:rPr>
            </w:pPr>
            <w:r>
              <w:rPr>
                <w:rFonts w:cs="Arial"/>
              </w:rPr>
              <w:t>1.019</w:t>
            </w:r>
          </w:p>
        </w:tc>
        <w:tc>
          <w:tcPr>
            <w:tcW w:w="1842" w:type="dxa"/>
            <w:gridSpan w:val="2"/>
          </w:tcPr>
          <w:p>
            <w:pPr>
              <w:jc w:val="right"/>
              <w:rPr>
                <w:rFonts w:cs="Arial"/>
              </w:rPr>
            </w:pPr>
            <w:r>
              <w:rPr>
                <w:rFonts w:cs="Arial"/>
              </w:rPr>
              <w:t>2.442</w:t>
            </w:r>
          </w:p>
        </w:tc>
      </w:tr>
      <w:tr>
        <w:trPr>
          <w:trHeight w:val="281"/>
        </w:trPr>
        <w:tc>
          <w:tcPr>
            <w:tcW w:w="6008" w:type="dxa"/>
          </w:tcPr>
          <w:p>
            <w:pPr>
              <w:rPr>
                <w:rFonts w:cs="Arial"/>
              </w:rPr>
            </w:pPr>
            <w:r>
              <w:rPr>
                <w:rFonts w:cs="Arial"/>
              </w:rPr>
              <w:t>Cauções e Retenções</w:t>
            </w:r>
          </w:p>
        </w:tc>
        <w:tc>
          <w:tcPr>
            <w:tcW w:w="1843" w:type="dxa"/>
          </w:tcPr>
          <w:p>
            <w:pPr>
              <w:jc w:val="right"/>
              <w:rPr>
                <w:rFonts w:cs="Arial"/>
              </w:rPr>
            </w:pPr>
            <w:r>
              <w:rPr>
                <w:rFonts w:cs="Arial"/>
              </w:rPr>
              <w:t>201</w:t>
            </w:r>
          </w:p>
        </w:tc>
        <w:tc>
          <w:tcPr>
            <w:tcW w:w="1842" w:type="dxa"/>
            <w:gridSpan w:val="2"/>
          </w:tcPr>
          <w:p>
            <w:pPr>
              <w:jc w:val="right"/>
              <w:rPr>
                <w:rFonts w:cs="Arial"/>
              </w:rPr>
            </w:pPr>
            <w:r>
              <w:rPr>
                <w:rFonts w:cs="Arial"/>
              </w:rPr>
              <w:t>206</w:t>
            </w:r>
          </w:p>
        </w:tc>
      </w:tr>
      <w:tr>
        <w:trPr>
          <w:trHeight w:val="316"/>
        </w:trPr>
        <w:tc>
          <w:tcPr>
            <w:tcW w:w="6008" w:type="dxa"/>
            <w:vAlign w:val="center"/>
          </w:tcPr>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3.859</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3.801</w:t>
            </w:r>
          </w:p>
        </w:tc>
      </w:tr>
    </w:tbl>
    <w:p>
      <w:pPr>
        <w:rPr>
          <w:rFonts w:cs="Arial"/>
        </w:rPr>
      </w:pPr>
    </w:p>
    <w:p>
      <w:pPr>
        <w:pStyle w:val="Ttulo2"/>
        <w:rPr>
          <w:rStyle w:val="Ttulo2Char"/>
          <w:b/>
        </w:rPr>
      </w:pPr>
      <w:bookmarkStart w:id="117" w:name="_Toc41376136"/>
      <w:r>
        <w:rPr>
          <w:rStyle w:val="Ttulo2Char"/>
          <w:b/>
        </w:rPr>
        <w:t>20.1. Convênio SEAP</w:t>
      </w:r>
      <w:bookmarkEnd w:id="117"/>
    </w:p>
    <w:p>
      <w:pPr>
        <w:ind w:firstLine="435"/>
        <w:rPr>
          <w:rFonts w:cs="Arial"/>
        </w:rPr>
      </w:pPr>
      <w:r>
        <w:rPr>
          <w:rFonts w:cs="Arial"/>
        </w:rPr>
        <w:t>Este convênio foi realizado entre a CEAGESP e a Secretaria Especial de Aquicultura e Pesca – SEAP, com investimentos na área industrial do Pescado do ETSP, no programa de modernização do setor. Esta etapa foi concluída e inaugurada em 2008.</w:t>
      </w:r>
    </w:p>
    <w:p>
      <w:pPr>
        <w:pStyle w:val="Ttulo2"/>
        <w:rPr>
          <w:rStyle w:val="Ttulo2Char"/>
          <w:b/>
        </w:rPr>
      </w:pPr>
    </w:p>
    <w:p>
      <w:pPr>
        <w:pStyle w:val="Ttulo2"/>
        <w:rPr>
          <w:rStyle w:val="Ttulo2Char"/>
          <w:b/>
        </w:rPr>
      </w:pPr>
      <w:bookmarkStart w:id="118" w:name="_Toc41376137"/>
      <w:r>
        <w:rPr>
          <w:rStyle w:val="Ttulo2Char"/>
          <w:b/>
        </w:rPr>
        <w:t>20.2. Correntistas Credores</w:t>
      </w:r>
      <w:bookmarkEnd w:id="118"/>
    </w:p>
    <w:p>
      <w:pPr>
        <w:ind w:firstLine="435"/>
        <w:rPr>
          <w:rFonts w:cs="Arial"/>
        </w:rPr>
      </w:pPr>
      <w:r>
        <w:rPr>
          <w:rFonts w:cs="Arial"/>
        </w:rPr>
        <w:t>Nesta nomenclatura são registrados valores levantados judicialmente em processos de desapropriação de área e créditos de clientes.</w:t>
      </w:r>
    </w:p>
    <w:p/>
    <w:p>
      <w:pPr>
        <w:pStyle w:val="Ttulo2"/>
        <w:rPr>
          <w:rStyle w:val="Ttulo2Char"/>
          <w:b/>
        </w:rPr>
      </w:pPr>
      <w:bookmarkStart w:id="119" w:name="_Toc41376138"/>
      <w:r>
        <w:rPr>
          <w:rStyle w:val="Ttulo2Char"/>
          <w:b/>
        </w:rPr>
        <w:t>20.3. Contas a Pagar Diversos</w:t>
      </w:r>
      <w:bookmarkEnd w:id="119"/>
    </w:p>
    <w:p>
      <w:pPr>
        <w:ind w:firstLine="435"/>
        <w:rPr>
          <w:rFonts w:cs="Arial"/>
        </w:rPr>
      </w:pPr>
      <w:r>
        <w:rPr>
          <w:rFonts w:cs="Arial"/>
        </w:rPr>
        <w:t>Estão registrados valores de glosas de processos trabalhistas, honorários advocatícios de sucumbência, convênio instituições financeiras referente a empréstimos consignados, entre outros.</w:t>
      </w:r>
    </w:p>
    <w:p>
      <w:pPr>
        <w:rPr>
          <w:rFonts w:cs="Arial"/>
        </w:rPr>
      </w:pPr>
    </w:p>
    <w:p>
      <w:pPr>
        <w:pStyle w:val="Ttulo2"/>
        <w:rPr>
          <w:rStyle w:val="Ttulo2Char"/>
          <w:b/>
        </w:rPr>
      </w:pPr>
      <w:bookmarkStart w:id="120" w:name="_Toc41376139"/>
      <w:r>
        <w:rPr>
          <w:rStyle w:val="Ttulo2Char"/>
          <w:b/>
        </w:rPr>
        <w:t>20.4. Cauções e Retenções</w:t>
      </w:r>
      <w:bookmarkEnd w:id="120"/>
    </w:p>
    <w:p>
      <w:pPr>
        <w:ind w:firstLine="435"/>
        <w:rPr>
          <w:rFonts w:cs="Arial"/>
        </w:rPr>
      </w:pPr>
      <w:r>
        <w:rPr>
          <w:rFonts w:cs="Arial"/>
        </w:rPr>
        <w:t xml:space="preserve">Correspondem aos valores recebidos como garantias de contratos, para assegurar prejuízos advindos de não cumprimento do objeto do contrato, não adimplemento de obrigações previstas, prejuízos causados à Administração ou a terceiro, multas punitivas, dentre outros. </w:t>
      </w:r>
    </w:p>
    <w:p>
      <w:pPr>
        <w:rPr>
          <w:rFonts w:cs="Arial"/>
        </w:rPr>
      </w:pPr>
    </w:p>
    <w:p>
      <w:pPr>
        <w:rPr>
          <w:rFonts w:cs="Arial"/>
        </w:rPr>
      </w:pPr>
    </w:p>
    <w:p>
      <w:pPr>
        <w:pStyle w:val="Ttulo1"/>
        <w:rPr>
          <w:rFonts w:cs="Arial"/>
        </w:rPr>
      </w:pPr>
      <w:bookmarkStart w:id="121" w:name="_21._EMPRÉSTIMOS_A_1"/>
      <w:bookmarkStart w:id="122" w:name="_Toc41376140"/>
      <w:bookmarkEnd w:id="121"/>
      <w:r>
        <w:t>21.</w:t>
      </w:r>
      <w:r>
        <w:tab/>
        <w:t>EMPRÉSTIMOS A PAGAR</w:t>
      </w:r>
      <w:bookmarkEnd w:id="122"/>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1"/>
              <w:rPr>
                <w:szCs w:val="22"/>
              </w:rPr>
            </w:pPr>
            <w:bookmarkStart w:id="123" w:name="_21._EMPRÉSTIMOS_A"/>
            <w:bookmarkEnd w:id="123"/>
          </w:p>
        </w:tc>
        <w:tc>
          <w:tcPr>
            <w:tcW w:w="1843"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31.03.2020</w:t>
            </w:r>
          </w:p>
        </w:tc>
        <w:tc>
          <w:tcPr>
            <w:tcW w:w="1842"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31.12.2019</w:t>
            </w:r>
          </w:p>
        </w:tc>
      </w:tr>
      <w:tr>
        <w:trPr>
          <w:trHeight w:val="281"/>
        </w:trPr>
        <w:tc>
          <w:tcPr>
            <w:tcW w:w="6008" w:type="dxa"/>
          </w:tcPr>
          <w:p>
            <w:pPr>
              <w:rPr>
                <w:rFonts w:cs="Arial"/>
              </w:rPr>
            </w:pPr>
            <w:r>
              <w:rPr>
                <w:rFonts w:cs="Arial"/>
              </w:rPr>
              <w:t>Empréstimo II</w:t>
            </w:r>
          </w:p>
        </w:tc>
        <w:tc>
          <w:tcPr>
            <w:tcW w:w="1843" w:type="dxa"/>
          </w:tcPr>
          <w:p>
            <w:pPr>
              <w:jc w:val="right"/>
              <w:rPr>
                <w:rFonts w:cs="Arial"/>
              </w:rPr>
            </w:pPr>
            <w:r>
              <w:rPr>
                <w:rFonts w:cs="Arial"/>
              </w:rPr>
              <w:t>-</w:t>
            </w:r>
          </w:p>
        </w:tc>
        <w:tc>
          <w:tcPr>
            <w:tcW w:w="1842" w:type="dxa"/>
            <w:gridSpan w:val="2"/>
          </w:tcPr>
          <w:p>
            <w:pPr>
              <w:jc w:val="right"/>
              <w:rPr>
                <w:rFonts w:cs="Arial"/>
              </w:rPr>
            </w:pPr>
            <w:r>
              <w:rPr>
                <w:rFonts w:cs="Arial"/>
              </w:rPr>
              <w:t>333</w:t>
            </w:r>
          </w:p>
        </w:tc>
      </w:tr>
      <w:tr>
        <w:trPr>
          <w:trHeight w:val="281"/>
        </w:trPr>
        <w:tc>
          <w:tcPr>
            <w:tcW w:w="6008" w:type="dxa"/>
            <w:vAlign w:val="center"/>
          </w:tcPr>
          <w:p>
            <w:pPr>
              <w:rPr>
                <w:rFonts w:cs="Arial"/>
              </w:rPr>
            </w:pPr>
            <w:r>
              <w:rPr>
                <w:rFonts w:cs="Arial"/>
              </w:rPr>
              <w:t>Empréstimo III</w:t>
            </w:r>
          </w:p>
        </w:tc>
        <w:tc>
          <w:tcPr>
            <w:tcW w:w="1843" w:type="dxa"/>
          </w:tcPr>
          <w:p>
            <w:pPr>
              <w:jc w:val="right"/>
              <w:rPr>
                <w:rFonts w:cs="Arial"/>
              </w:rPr>
            </w:pPr>
            <w:r>
              <w:rPr>
                <w:rFonts w:cs="Arial"/>
              </w:rPr>
              <w:t>2.667</w:t>
            </w:r>
          </w:p>
        </w:tc>
        <w:tc>
          <w:tcPr>
            <w:tcW w:w="1842" w:type="dxa"/>
            <w:gridSpan w:val="2"/>
          </w:tcPr>
          <w:p>
            <w:pPr>
              <w:jc w:val="right"/>
              <w:rPr>
                <w:rFonts w:cs="Arial"/>
              </w:rPr>
            </w:pPr>
            <w:r>
              <w:rPr>
                <w:rFonts w:cs="Arial"/>
              </w:rPr>
              <w:t>4.267</w:t>
            </w:r>
          </w:p>
        </w:tc>
      </w:tr>
      <w:tr>
        <w:trPr>
          <w:trHeight w:val="281"/>
        </w:trPr>
        <w:tc>
          <w:tcPr>
            <w:tcW w:w="6008" w:type="dxa"/>
            <w:vAlign w:val="center"/>
          </w:tcPr>
          <w:p>
            <w:pPr>
              <w:rPr>
                <w:rFonts w:cs="Arial"/>
              </w:rPr>
            </w:pPr>
            <w:r>
              <w:rPr>
                <w:rFonts w:cs="Arial"/>
              </w:rPr>
              <w:t>Empréstimo IV</w:t>
            </w:r>
          </w:p>
        </w:tc>
        <w:tc>
          <w:tcPr>
            <w:tcW w:w="1843" w:type="dxa"/>
          </w:tcPr>
          <w:p>
            <w:pPr>
              <w:jc w:val="right"/>
              <w:rPr>
                <w:rFonts w:cs="Arial"/>
              </w:rPr>
            </w:pPr>
            <w:r>
              <w:rPr>
                <w:rFonts w:cs="Arial"/>
              </w:rPr>
              <w:t>4.000</w:t>
            </w:r>
          </w:p>
        </w:tc>
        <w:tc>
          <w:tcPr>
            <w:tcW w:w="1842" w:type="dxa"/>
            <w:gridSpan w:val="2"/>
          </w:tcPr>
          <w:p>
            <w:pPr>
              <w:jc w:val="right"/>
              <w:rPr>
                <w:rFonts w:cs="Arial"/>
              </w:rPr>
            </w:pPr>
            <w:r>
              <w:rPr>
                <w:rFonts w:cs="Arial"/>
              </w:rPr>
              <w:t>-</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6.667</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4.600</w:t>
            </w:r>
          </w:p>
        </w:tc>
      </w:tr>
    </w:tbl>
    <w:p>
      <w:pPr>
        <w:ind w:firstLine="435"/>
        <w:rPr>
          <w:rFonts w:cs="Arial"/>
          <w:szCs w:val="22"/>
        </w:rPr>
      </w:pPr>
    </w:p>
    <w:p>
      <w:pPr>
        <w:ind w:firstLine="435"/>
        <w:rPr>
          <w:rFonts w:cs="Arial"/>
          <w:szCs w:val="22"/>
        </w:rPr>
      </w:pPr>
      <w:r>
        <w:rPr>
          <w:rFonts w:cs="Arial"/>
          <w:szCs w:val="22"/>
        </w:rPr>
        <w:t>Ambos foram realizados junto ao Banco do Brasil, exclusivamente para reforço do capital de giro, sem aplicação em investimentos fixos.</w:t>
      </w:r>
    </w:p>
    <w:p>
      <w:pPr>
        <w:rPr>
          <w:rStyle w:val="Ttulo2Char"/>
          <w:b w:val="0"/>
        </w:rPr>
      </w:pPr>
    </w:p>
    <w:p>
      <w:pPr>
        <w:rPr>
          <w:rStyle w:val="Ttulo2Char"/>
          <w:b w:val="0"/>
        </w:rPr>
      </w:pPr>
    </w:p>
    <w:p>
      <w:pPr>
        <w:pStyle w:val="Ttulo2"/>
        <w:rPr>
          <w:rStyle w:val="Ttulo2Char"/>
          <w:b/>
        </w:rPr>
      </w:pPr>
      <w:bookmarkStart w:id="124" w:name="_Toc41376141"/>
      <w:r>
        <w:rPr>
          <w:rStyle w:val="Ttulo2Char"/>
          <w:b/>
        </w:rPr>
        <w:t>21.1. Empréstimo II</w:t>
      </w:r>
      <w:bookmarkEnd w:id="124"/>
    </w:p>
    <w:p>
      <w:pPr>
        <w:ind w:firstLine="435"/>
      </w:pPr>
      <w:r>
        <w:t xml:space="preserve">O valor nominal de R$ 4 milhões foi captado no mês de janeiro de 2019, com prestações mensais e consecutivas estipuladas no valor de R$ 333 mil, com vencimento da primeira parcela em fevereiro de 2019. A última parcela foi liquidada em janeiro de 2020. </w:t>
      </w:r>
    </w:p>
    <w:p/>
    <w:p>
      <w:pPr>
        <w:pStyle w:val="Ttulo2"/>
        <w:rPr>
          <w:rStyle w:val="Ttulo2Char"/>
          <w:b/>
        </w:rPr>
      </w:pPr>
      <w:bookmarkStart w:id="125" w:name="_Toc41376142"/>
      <w:r>
        <w:rPr>
          <w:rStyle w:val="Ttulo2Char"/>
          <w:b/>
        </w:rPr>
        <w:t>21.2. Empréstimo III</w:t>
      </w:r>
      <w:bookmarkEnd w:id="125"/>
    </w:p>
    <w:p>
      <w:pPr>
        <w:ind w:firstLine="435"/>
      </w:pPr>
      <w:r>
        <w:t>Os recursos foram captados no mês de agosto de 2019 no valor nominal de R$ 6,4 milhões. O prazo para pagamento era de 12 meses, com prestações mensais e consecutivas estipuladas em R$533 mil, com vencimento da primeira parcela em setembro de 2019 e término em agosto de 2020.</w:t>
      </w:r>
    </w:p>
    <w:p>
      <w:pPr>
        <w:rPr>
          <w:rFonts w:cs="Arial"/>
          <w:b/>
        </w:rPr>
      </w:pPr>
    </w:p>
    <w:p>
      <w:pPr>
        <w:pStyle w:val="Ttulo2"/>
        <w:rPr>
          <w:rStyle w:val="Ttulo2Char"/>
          <w:b/>
        </w:rPr>
      </w:pPr>
      <w:bookmarkStart w:id="126" w:name="_Toc41376143"/>
      <w:r>
        <w:rPr>
          <w:rStyle w:val="Ttulo2Char"/>
          <w:b/>
        </w:rPr>
        <w:t>21.3. Empréstimo IV</w:t>
      </w:r>
      <w:bookmarkEnd w:id="126"/>
    </w:p>
    <w:p>
      <w:pPr>
        <w:ind w:firstLine="435"/>
      </w:pPr>
      <w:r>
        <w:t xml:space="preserve">O valor nominal de R$ 4 milhões foi captado no mês de março de 2020, com prestações mensais e consecutivas estipuladas no valor de R$ 333 mil, com vencimento da primeira parcela para abril de 2020 e término previsto para março de 2021. </w:t>
      </w:r>
    </w:p>
    <w:p/>
    <w:p>
      <w:pPr>
        <w:rPr>
          <w:rFonts w:cs="Arial"/>
          <w:b/>
        </w:rPr>
      </w:pPr>
    </w:p>
    <w:p>
      <w:pPr>
        <w:pStyle w:val="Ttulo2"/>
        <w:rPr>
          <w:rStyle w:val="Ttulo2Char"/>
          <w:b/>
        </w:rPr>
      </w:pPr>
      <w:bookmarkStart w:id="127" w:name="_Toc41376144"/>
      <w:r>
        <w:rPr>
          <w:rStyle w:val="Ttulo2Char"/>
          <w:b/>
        </w:rPr>
        <w:t>21.4. Garantia – Obrigação Especial – Cessão de Direitos Creditórios</w:t>
      </w:r>
      <w:bookmarkEnd w:id="127"/>
    </w:p>
    <w:p>
      <w:pPr>
        <w:ind w:firstLine="435"/>
        <w:rPr>
          <w:rFonts w:cs="Arial"/>
        </w:rPr>
      </w:pPr>
      <w:r>
        <w:rPr>
          <w:rFonts w:cs="Arial"/>
        </w:rPr>
        <w:t>A Ceagesp fica obrigada a registrar em cobrança, na proporção mínima de 120% dos valores a receber a título de prestação de serviços ou vendas, vencíveis até o prazo de 180 dias.</w:t>
      </w:r>
    </w:p>
    <w:p>
      <w:pPr>
        <w:rPr>
          <w:rFonts w:cs="Arial"/>
        </w:rPr>
      </w:pPr>
    </w:p>
    <w:p>
      <w:pPr>
        <w:pStyle w:val="Ttulo2"/>
        <w:rPr>
          <w:rStyle w:val="Ttulo2Char"/>
          <w:b/>
        </w:rPr>
      </w:pPr>
      <w:bookmarkStart w:id="128" w:name="_Toc41376145"/>
      <w:r>
        <w:rPr>
          <w:rStyle w:val="Ttulo2Char"/>
          <w:b/>
        </w:rPr>
        <w:t>21.5. Obrigação Especial – Reforço da Garantia</w:t>
      </w:r>
      <w:bookmarkEnd w:id="128"/>
    </w:p>
    <w:p>
      <w:pPr>
        <w:ind w:firstLine="435"/>
        <w:rPr>
          <w:rFonts w:cs="Arial"/>
        </w:rPr>
      </w:pPr>
      <w:r>
        <w:rPr>
          <w:rFonts w:cs="Arial"/>
        </w:rPr>
        <w:t xml:space="preserve">Caso a garantia reduza em nível inferior aos 120% do valor do saldo devedor da dívida, a Ceagesp fica obrigada a restabelecer o nível, em até 5 dias, sob pena de vencimento antecipado da dívida. </w:t>
      </w:r>
    </w:p>
    <w:p>
      <w:bookmarkStart w:id="129" w:name="_21.3_–_Encargos"/>
      <w:bookmarkEnd w:id="129"/>
    </w:p>
    <w:p>
      <w:pPr>
        <w:pStyle w:val="Ttulo2"/>
        <w:rPr>
          <w:rStyle w:val="Ttulo2Char"/>
          <w:b/>
        </w:rPr>
      </w:pPr>
      <w:bookmarkStart w:id="130" w:name="_21.5._Encargos_Financeiros"/>
      <w:bookmarkStart w:id="131" w:name="_Toc41376146"/>
      <w:bookmarkEnd w:id="130"/>
      <w:r>
        <w:rPr>
          <w:rStyle w:val="Ttulo2Char"/>
          <w:b/>
        </w:rPr>
        <w:t>21.6. Encargos Financeiros</w:t>
      </w:r>
      <w:bookmarkEnd w:id="131"/>
    </w:p>
    <w:p>
      <w:pPr>
        <w:ind w:firstLine="435"/>
      </w:pPr>
      <w:r>
        <w:t>Sobre o valor do empréstimo III e as quantias devidas a título de acessórios, taxas e despesas incidem encargos financeiros de 195% da taxa média dos Certificados de Depósitos Interbancários – CDI, divulgada pela Central de Custódia e de Liquidação Financeira de Títulos – CETIP e sobre o empréstimo IV incidem encargos financeiros de 198%. Os encargos financeiros são calculados por dias úteis e debitados na conta vinculada do empréstimo a cada data-base, no vencimento e na liquidação da dívida, devendo ser pagos integralmente. Fica a cargo da Ceagesp o pagamento do Imposto sobre Operações de Crédito, Câmbio e Seguros – IOF, bem como por outros tributos que venham a ser instituídos e tornados exigíveis.</w:t>
      </w:r>
    </w:p>
    <w:p>
      <w:pPr>
        <w:rPr>
          <w:rFonts w:cs="Arial"/>
        </w:rPr>
      </w:pPr>
    </w:p>
    <w:p>
      <w:pPr>
        <w:pStyle w:val="Ttulo2"/>
        <w:rPr>
          <w:rStyle w:val="Ttulo2Char"/>
          <w:b/>
        </w:rPr>
      </w:pPr>
      <w:bookmarkStart w:id="132" w:name="_21.6._Comissão_Flat"/>
      <w:bookmarkStart w:id="133" w:name="_Toc41376147"/>
      <w:bookmarkEnd w:id="132"/>
      <w:r>
        <w:rPr>
          <w:rStyle w:val="Ttulo2Char"/>
          <w:b/>
        </w:rPr>
        <w:t>21.7. Comissão Flat</w:t>
      </w:r>
      <w:bookmarkEnd w:id="133"/>
    </w:p>
    <w:p>
      <w:pPr>
        <w:ind w:firstLine="435"/>
      </w:pPr>
      <w:r>
        <w:t>Além dos encargos financeiros, a Ceagesp pagou a comissão flat na data da liberação do crédito, no percentual de 1,3% para o Empréstimo III e 1,35% para o Empréstimo IV.</w:t>
      </w:r>
    </w:p>
    <w:p>
      <w:pPr>
        <w:rPr>
          <w:rFonts w:cs="Arial"/>
        </w:rPr>
      </w:pPr>
    </w:p>
    <w:p>
      <w:pPr>
        <w:pStyle w:val="Ttulo1"/>
        <w:rPr>
          <w:rFonts w:cs="Arial"/>
        </w:rPr>
      </w:pPr>
      <w:bookmarkStart w:id="134" w:name="_22._PROVISÃO_PARA_1"/>
      <w:bookmarkStart w:id="135" w:name="_Toc41376148"/>
      <w:bookmarkEnd w:id="134"/>
      <w:r>
        <w:t>22.</w:t>
      </w:r>
      <w:r>
        <w:tab/>
        <w:t>PROVISÃO PARA CONTINGÊNCIAS</w:t>
      </w:r>
      <w:bookmarkEnd w:id="135"/>
    </w:p>
    <w:tbl>
      <w:tblPr>
        <w:tblW w:w="9217" w:type="dxa"/>
        <w:tblLayout w:type="fixed"/>
        <w:tblCellMar>
          <w:left w:w="54" w:type="dxa"/>
          <w:right w:w="54" w:type="dxa"/>
        </w:tblCellMar>
        <w:tblLook w:val="0000" w:firstRow="0" w:lastRow="0" w:firstColumn="0" w:lastColumn="0" w:noHBand="0" w:noVBand="0"/>
      </w:tblPr>
      <w:tblGrid>
        <w:gridCol w:w="6008"/>
        <w:gridCol w:w="1843"/>
        <w:gridCol w:w="24"/>
        <w:gridCol w:w="1342"/>
      </w:tblGrid>
      <w:tr>
        <w:trPr>
          <w:trHeight w:val="105"/>
        </w:trPr>
        <w:tc>
          <w:tcPr>
            <w:tcW w:w="6008" w:type="dxa"/>
          </w:tcPr>
          <w:p>
            <w:pPr>
              <w:pStyle w:val="Ttulo1"/>
              <w:rPr>
                <w:szCs w:val="22"/>
              </w:rPr>
            </w:pPr>
          </w:p>
        </w:tc>
        <w:tc>
          <w:tcPr>
            <w:tcW w:w="1843" w:type="dxa"/>
            <w:vAlign w:val="bottom"/>
          </w:tcPr>
          <w:p>
            <w:pPr>
              <w:pBdr>
                <w:bottom w:val="single" w:sz="4" w:space="1" w:color="000000"/>
              </w:pBdr>
              <w:autoSpaceDE w:val="0"/>
              <w:snapToGrid w:val="0"/>
              <w:ind w:left="-153" w:right="-54"/>
              <w:jc w:val="right"/>
              <w:rPr>
                <w:rFonts w:cs="Arial"/>
                <w:b/>
                <w:bCs/>
                <w:szCs w:val="22"/>
              </w:rPr>
            </w:pPr>
            <w:r>
              <w:rPr>
                <w:rFonts w:cs="Arial"/>
                <w:b/>
                <w:bCs/>
                <w:szCs w:val="22"/>
              </w:rPr>
              <w:t>31.03.2020</w:t>
            </w:r>
          </w:p>
        </w:tc>
        <w:tc>
          <w:tcPr>
            <w:tcW w:w="1366" w:type="dxa"/>
            <w:gridSpan w:val="2"/>
            <w:vAlign w:val="bottom"/>
          </w:tcPr>
          <w:p>
            <w:pPr>
              <w:pBdr>
                <w:bottom w:val="single" w:sz="4" w:space="1" w:color="000000"/>
              </w:pBdr>
              <w:autoSpaceDE w:val="0"/>
              <w:snapToGrid w:val="0"/>
              <w:ind w:left="88" w:right="-54"/>
              <w:jc w:val="right"/>
              <w:rPr>
                <w:rFonts w:cs="Arial"/>
                <w:b/>
                <w:bCs/>
                <w:szCs w:val="22"/>
              </w:rPr>
            </w:pPr>
            <w:r>
              <w:rPr>
                <w:rFonts w:cs="Arial"/>
                <w:b/>
                <w:bCs/>
                <w:szCs w:val="22"/>
              </w:rPr>
              <w:t>31.12.2019</w:t>
            </w:r>
          </w:p>
        </w:tc>
      </w:tr>
      <w:tr>
        <w:trPr>
          <w:trHeight w:val="281"/>
        </w:trPr>
        <w:tc>
          <w:tcPr>
            <w:tcW w:w="6008" w:type="dxa"/>
          </w:tcPr>
          <w:p>
            <w:pPr>
              <w:autoSpaceDE w:val="0"/>
              <w:snapToGrid w:val="0"/>
              <w:rPr>
                <w:rFonts w:cs="Arial"/>
                <w:szCs w:val="22"/>
              </w:rPr>
            </w:pPr>
            <w:r>
              <w:rPr>
                <w:rFonts w:cs="Arial"/>
                <w:szCs w:val="22"/>
              </w:rPr>
              <w:t>Provisão para Riscos Cíveis</w:t>
            </w:r>
          </w:p>
        </w:tc>
        <w:tc>
          <w:tcPr>
            <w:tcW w:w="1843" w:type="dxa"/>
          </w:tcPr>
          <w:p>
            <w:pPr>
              <w:autoSpaceDE w:val="0"/>
              <w:snapToGrid w:val="0"/>
              <w:jc w:val="right"/>
              <w:rPr>
                <w:rFonts w:cs="Arial"/>
                <w:szCs w:val="22"/>
              </w:rPr>
            </w:pPr>
            <w:r>
              <w:rPr>
                <w:rFonts w:cs="Arial"/>
                <w:szCs w:val="22"/>
              </w:rPr>
              <w:t>19.423</w:t>
            </w:r>
          </w:p>
        </w:tc>
        <w:tc>
          <w:tcPr>
            <w:tcW w:w="1366" w:type="dxa"/>
            <w:gridSpan w:val="2"/>
          </w:tcPr>
          <w:p>
            <w:pPr>
              <w:autoSpaceDE w:val="0"/>
              <w:snapToGrid w:val="0"/>
              <w:jc w:val="right"/>
              <w:rPr>
                <w:rFonts w:cs="Arial"/>
                <w:szCs w:val="22"/>
              </w:rPr>
            </w:pPr>
            <w:r>
              <w:rPr>
                <w:rFonts w:cs="Arial"/>
                <w:szCs w:val="22"/>
              </w:rPr>
              <w:t>16.729</w:t>
            </w:r>
          </w:p>
        </w:tc>
      </w:tr>
      <w:tr>
        <w:trPr>
          <w:trHeight w:val="281"/>
        </w:trPr>
        <w:tc>
          <w:tcPr>
            <w:tcW w:w="6008" w:type="dxa"/>
          </w:tcPr>
          <w:p>
            <w:pPr>
              <w:autoSpaceDE w:val="0"/>
              <w:snapToGrid w:val="0"/>
              <w:rPr>
                <w:rFonts w:cs="Arial"/>
                <w:szCs w:val="22"/>
              </w:rPr>
            </w:pPr>
            <w:r>
              <w:rPr>
                <w:rFonts w:cs="Arial"/>
                <w:szCs w:val="22"/>
              </w:rPr>
              <w:t>Provisão Contingências Trabalhistas - Governo Estado SP</w:t>
            </w:r>
          </w:p>
        </w:tc>
        <w:tc>
          <w:tcPr>
            <w:tcW w:w="1843" w:type="dxa"/>
          </w:tcPr>
          <w:p>
            <w:pPr>
              <w:autoSpaceDE w:val="0"/>
              <w:jc w:val="right"/>
              <w:rPr>
                <w:rFonts w:cs="Arial"/>
                <w:szCs w:val="22"/>
              </w:rPr>
            </w:pPr>
            <w:r>
              <w:rPr>
                <w:rFonts w:cs="Arial"/>
                <w:szCs w:val="22"/>
              </w:rPr>
              <w:t>4.251</w:t>
            </w:r>
          </w:p>
        </w:tc>
        <w:tc>
          <w:tcPr>
            <w:tcW w:w="1366" w:type="dxa"/>
            <w:gridSpan w:val="2"/>
          </w:tcPr>
          <w:p>
            <w:pPr>
              <w:autoSpaceDE w:val="0"/>
              <w:jc w:val="right"/>
              <w:rPr>
                <w:rFonts w:cs="Arial"/>
                <w:szCs w:val="22"/>
              </w:rPr>
            </w:pPr>
            <w:r>
              <w:rPr>
                <w:rFonts w:cs="Arial"/>
                <w:szCs w:val="22"/>
              </w:rPr>
              <w:t>6.004</w:t>
            </w:r>
          </w:p>
        </w:tc>
      </w:tr>
      <w:tr>
        <w:trPr>
          <w:trHeight w:val="281"/>
        </w:trPr>
        <w:tc>
          <w:tcPr>
            <w:tcW w:w="6008" w:type="dxa"/>
          </w:tcPr>
          <w:p>
            <w:pPr>
              <w:autoSpaceDE w:val="0"/>
              <w:snapToGrid w:val="0"/>
              <w:rPr>
                <w:rFonts w:cs="Arial"/>
                <w:szCs w:val="22"/>
              </w:rPr>
            </w:pPr>
            <w:r>
              <w:rPr>
                <w:rFonts w:cs="Arial"/>
                <w:szCs w:val="22"/>
              </w:rPr>
              <w:t>Provisão para Contingências Trabalhistas - Ceagesp</w:t>
            </w:r>
          </w:p>
        </w:tc>
        <w:tc>
          <w:tcPr>
            <w:tcW w:w="1843" w:type="dxa"/>
          </w:tcPr>
          <w:p>
            <w:pPr>
              <w:autoSpaceDE w:val="0"/>
              <w:snapToGrid w:val="0"/>
              <w:jc w:val="right"/>
              <w:rPr>
                <w:rFonts w:cs="Arial"/>
                <w:szCs w:val="22"/>
              </w:rPr>
            </w:pPr>
            <w:r>
              <w:rPr>
                <w:rFonts w:cs="Arial"/>
                <w:szCs w:val="22"/>
              </w:rPr>
              <w:t>4.353</w:t>
            </w:r>
          </w:p>
        </w:tc>
        <w:tc>
          <w:tcPr>
            <w:tcW w:w="1366" w:type="dxa"/>
            <w:gridSpan w:val="2"/>
          </w:tcPr>
          <w:p>
            <w:pPr>
              <w:autoSpaceDE w:val="0"/>
              <w:snapToGrid w:val="0"/>
              <w:jc w:val="right"/>
              <w:rPr>
                <w:rFonts w:cs="Arial"/>
                <w:szCs w:val="22"/>
              </w:rPr>
            </w:pPr>
            <w:r>
              <w:rPr>
                <w:rFonts w:cs="Arial"/>
                <w:szCs w:val="22"/>
              </w:rPr>
              <w:t>3.598</w:t>
            </w:r>
          </w:p>
        </w:tc>
      </w:tr>
      <w:tr>
        <w:trPr>
          <w:trHeight w:val="281"/>
        </w:trPr>
        <w:tc>
          <w:tcPr>
            <w:tcW w:w="6008" w:type="dxa"/>
          </w:tcPr>
          <w:p>
            <w:pPr>
              <w:autoSpaceDE w:val="0"/>
              <w:snapToGrid w:val="0"/>
              <w:rPr>
                <w:rFonts w:cs="Arial"/>
                <w:szCs w:val="22"/>
              </w:rPr>
            </w:pPr>
            <w:r>
              <w:rPr>
                <w:rFonts w:cs="Arial"/>
                <w:szCs w:val="22"/>
              </w:rPr>
              <w:t>Provisão para Contingências Trabalhistas - Terceiros</w:t>
            </w:r>
          </w:p>
        </w:tc>
        <w:tc>
          <w:tcPr>
            <w:tcW w:w="1843" w:type="dxa"/>
          </w:tcPr>
          <w:p>
            <w:pPr>
              <w:autoSpaceDE w:val="0"/>
              <w:snapToGrid w:val="0"/>
              <w:jc w:val="right"/>
              <w:rPr>
                <w:rFonts w:cs="Arial"/>
                <w:szCs w:val="22"/>
              </w:rPr>
            </w:pPr>
            <w:r>
              <w:rPr>
                <w:rFonts w:cs="Arial"/>
                <w:szCs w:val="22"/>
              </w:rPr>
              <w:t>1.742</w:t>
            </w:r>
          </w:p>
        </w:tc>
        <w:tc>
          <w:tcPr>
            <w:tcW w:w="1366" w:type="dxa"/>
            <w:gridSpan w:val="2"/>
          </w:tcPr>
          <w:p>
            <w:pPr>
              <w:autoSpaceDE w:val="0"/>
              <w:snapToGrid w:val="0"/>
              <w:jc w:val="right"/>
              <w:rPr>
                <w:rFonts w:cs="Arial"/>
                <w:szCs w:val="22"/>
              </w:rPr>
            </w:pPr>
            <w:r>
              <w:rPr>
                <w:rFonts w:cs="Arial"/>
                <w:szCs w:val="22"/>
              </w:rPr>
              <w:t>1.733</w:t>
            </w:r>
          </w:p>
        </w:tc>
      </w:tr>
      <w:tr>
        <w:trPr>
          <w:trHeight w:val="281"/>
        </w:trPr>
        <w:tc>
          <w:tcPr>
            <w:tcW w:w="6008" w:type="dxa"/>
          </w:tcPr>
          <w:p>
            <w:pPr>
              <w:autoSpaceDE w:val="0"/>
              <w:snapToGrid w:val="0"/>
              <w:rPr>
                <w:rFonts w:cs="Arial"/>
                <w:szCs w:val="22"/>
              </w:rPr>
            </w:pPr>
            <w:r>
              <w:rPr>
                <w:rFonts w:cs="Arial"/>
                <w:szCs w:val="22"/>
              </w:rPr>
              <w:t>Provisão para Riscos Fiscais</w:t>
            </w:r>
          </w:p>
        </w:tc>
        <w:tc>
          <w:tcPr>
            <w:tcW w:w="1843" w:type="dxa"/>
          </w:tcPr>
          <w:p>
            <w:pPr>
              <w:autoSpaceDE w:val="0"/>
              <w:snapToGrid w:val="0"/>
              <w:jc w:val="right"/>
              <w:rPr>
                <w:rFonts w:cs="Arial"/>
                <w:szCs w:val="22"/>
              </w:rPr>
            </w:pPr>
            <w:r>
              <w:rPr>
                <w:rFonts w:cs="Arial"/>
                <w:szCs w:val="22"/>
              </w:rPr>
              <w:t>675</w:t>
            </w:r>
          </w:p>
        </w:tc>
        <w:tc>
          <w:tcPr>
            <w:tcW w:w="1366" w:type="dxa"/>
            <w:gridSpan w:val="2"/>
          </w:tcPr>
          <w:p>
            <w:pPr>
              <w:autoSpaceDE w:val="0"/>
              <w:snapToGrid w:val="0"/>
              <w:jc w:val="right"/>
              <w:rPr>
                <w:rFonts w:cs="Arial"/>
                <w:szCs w:val="22"/>
              </w:rPr>
            </w:pPr>
            <w:r>
              <w:rPr>
                <w:rFonts w:cs="Arial"/>
                <w:szCs w:val="22"/>
              </w:rPr>
              <w:t>255</w:t>
            </w:r>
          </w:p>
        </w:tc>
      </w:tr>
      <w:tr>
        <w:trPr>
          <w:trHeight w:val="316"/>
        </w:trPr>
        <w:tc>
          <w:tcPr>
            <w:tcW w:w="6008" w:type="dxa"/>
            <w:vAlign w:val="center"/>
          </w:tcPr>
          <w:p>
            <w:pPr>
              <w:tabs>
                <w:tab w:val="left" w:pos="7938"/>
              </w:tabs>
              <w:autoSpaceDE w:val="0"/>
              <w:snapToGrid w:val="0"/>
              <w:rPr>
                <w:rFonts w:cs="Arial"/>
                <w:szCs w:val="22"/>
              </w:rPr>
            </w:pPr>
          </w:p>
          <w:p>
            <w:pPr>
              <w:tabs>
                <w:tab w:val="left" w:pos="7938"/>
              </w:tabs>
              <w:autoSpaceDE w:val="0"/>
              <w:snapToGrid w:val="0"/>
              <w:rPr>
                <w:rFonts w:cs="Arial"/>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30.444</w:t>
            </w:r>
          </w:p>
        </w:tc>
        <w:tc>
          <w:tcPr>
            <w:tcW w:w="1342" w:type="dxa"/>
            <w:shd w:val="clear" w:color="auto" w:fill="auto"/>
            <w:vAlign w:val="center"/>
          </w:tcPr>
          <w:p>
            <w:pPr>
              <w:pBdr>
                <w:top w:val="single" w:sz="4" w:space="1" w:color="000000"/>
                <w:bottom w:val="double" w:sz="1" w:space="1" w:color="000000"/>
              </w:pBdr>
              <w:tabs>
                <w:tab w:val="left" w:pos="7938"/>
              </w:tabs>
              <w:autoSpaceDE w:val="0"/>
              <w:snapToGrid w:val="0"/>
              <w:jc w:val="right"/>
              <w:rPr>
                <w:rFonts w:cs="Arial"/>
                <w:b/>
                <w:szCs w:val="22"/>
              </w:rPr>
            </w:pPr>
            <w:r>
              <w:rPr>
                <w:rFonts w:cs="Arial"/>
                <w:b/>
                <w:szCs w:val="22"/>
              </w:rPr>
              <w:t>28.319</w:t>
            </w:r>
          </w:p>
        </w:tc>
      </w:tr>
    </w:tbl>
    <w:p>
      <w:pPr>
        <w:rPr>
          <w:rFonts w:cs="Arial"/>
        </w:rPr>
      </w:pPr>
      <w:bookmarkStart w:id="136" w:name="_22._PROVISÃO_PARA"/>
      <w:bookmarkStart w:id="137" w:name="_21._PROVISÃO_PARA"/>
      <w:bookmarkEnd w:id="136"/>
      <w:bookmarkEnd w:id="137"/>
    </w:p>
    <w:p>
      <w:pPr>
        <w:ind w:firstLine="709"/>
        <w:rPr>
          <w:rFonts w:cs="Arial"/>
        </w:rPr>
      </w:pPr>
      <w:r>
        <w:rPr>
          <w:rFonts w:cs="Arial"/>
        </w:rPr>
        <w:t>As provisões são constituídas com base em dados do departamento jurídico face às perdas consideradas prováveis, em processos judiciais cíveis e trabalhistas relevantes. O aumento na provisão para riscos cíveis se deve à atualização dos valores e da posição dos processos.</w:t>
      </w:r>
    </w:p>
    <w:p>
      <w:pPr>
        <w:ind w:firstLine="709"/>
        <w:rPr>
          <w:rFonts w:cs="Arial"/>
        </w:rPr>
      </w:pPr>
    </w:p>
    <w:p>
      <w:pPr>
        <w:ind w:firstLine="709"/>
        <w:rPr>
          <w:rFonts w:cs="Arial"/>
        </w:rPr>
      </w:pPr>
    </w:p>
    <w:tbl>
      <w:tblPr>
        <w:tblW w:w="9693" w:type="dxa"/>
        <w:tblLayout w:type="fixed"/>
        <w:tblCellMar>
          <w:left w:w="54" w:type="dxa"/>
          <w:right w:w="54" w:type="dxa"/>
        </w:tblCellMar>
        <w:tblLook w:val="0000" w:firstRow="0" w:lastRow="0" w:firstColumn="0" w:lastColumn="0" w:noHBand="0" w:noVBand="0"/>
      </w:tblPr>
      <w:tblGrid>
        <w:gridCol w:w="7567"/>
        <w:gridCol w:w="2126"/>
      </w:tblGrid>
      <w:tr>
        <w:trPr>
          <w:trHeight w:val="409"/>
        </w:trPr>
        <w:tc>
          <w:tcPr>
            <w:tcW w:w="7567" w:type="dxa"/>
          </w:tcPr>
          <w:p>
            <w:pPr>
              <w:autoSpaceDE w:val="0"/>
              <w:snapToGrid w:val="0"/>
              <w:rPr>
                <w:rFonts w:cs="Arial"/>
                <w:b/>
                <w:szCs w:val="22"/>
              </w:rPr>
            </w:pPr>
          </w:p>
          <w:p>
            <w:pPr>
              <w:autoSpaceDE w:val="0"/>
              <w:snapToGrid w:val="0"/>
              <w:rPr>
                <w:rFonts w:cs="Arial"/>
                <w:b/>
                <w:szCs w:val="22"/>
              </w:rPr>
            </w:pPr>
            <w:r>
              <w:rPr>
                <w:rFonts w:cs="Arial"/>
                <w:b/>
                <w:szCs w:val="22"/>
              </w:rPr>
              <w:t>DEMONSTRAÇÃO DA PROVISÃO PARA CONTINGÊNCIAS</w:t>
            </w:r>
          </w:p>
        </w:tc>
        <w:tc>
          <w:tcPr>
            <w:tcW w:w="2126" w:type="dxa"/>
            <w:vAlign w:val="center"/>
          </w:tcPr>
          <w:p>
            <w:pPr>
              <w:pBdr>
                <w:bottom w:val="single" w:sz="4" w:space="1" w:color="000000"/>
              </w:pBdr>
              <w:autoSpaceDE w:val="0"/>
              <w:snapToGrid w:val="0"/>
              <w:jc w:val="right"/>
              <w:rPr>
                <w:rFonts w:cs="Arial"/>
                <w:b/>
                <w:bCs/>
                <w:szCs w:val="22"/>
              </w:rPr>
            </w:pPr>
            <w:r>
              <w:rPr>
                <w:rFonts w:cs="Arial"/>
                <w:b/>
                <w:bCs/>
                <w:szCs w:val="22"/>
              </w:rPr>
              <w:t>31.03.2020</w:t>
            </w:r>
          </w:p>
        </w:tc>
      </w:tr>
      <w:tr>
        <w:trPr>
          <w:cantSplit/>
          <w:trHeight w:val="284"/>
        </w:trPr>
        <w:tc>
          <w:tcPr>
            <w:tcW w:w="7567" w:type="dxa"/>
            <w:vAlign w:val="center"/>
          </w:tcPr>
          <w:p>
            <w:pPr>
              <w:autoSpaceDE w:val="0"/>
              <w:snapToGrid w:val="0"/>
              <w:rPr>
                <w:rFonts w:cs="Arial"/>
                <w:szCs w:val="22"/>
              </w:rPr>
            </w:pPr>
            <w:r>
              <w:rPr>
                <w:rFonts w:cs="Arial"/>
                <w:szCs w:val="22"/>
              </w:rPr>
              <w:t xml:space="preserve"> Saldo em 31.12.2019</w:t>
            </w:r>
          </w:p>
        </w:tc>
        <w:tc>
          <w:tcPr>
            <w:tcW w:w="2126" w:type="dxa"/>
            <w:vAlign w:val="center"/>
          </w:tcPr>
          <w:p>
            <w:pPr>
              <w:autoSpaceDE w:val="0"/>
              <w:snapToGrid w:val="0"/>
              <w:jc w:val="right"/>
              <w:rPr>
                <w:rFonts w:cs="Arial"/>
                <w:szCs w:val="22"/>
              </w:rPr>
            </w:pPr>
            <w:r>
              <w:rPr>
                <w:rFonts w:cs="Arial"/>
                <w:szCs w:val="22"/>
              </w:rPr>
              <w:t>28.319</w:t>
            </w:r>
          </w:p>
        </w:tc>
      </w:tr>
      <w:tr>
        <w:trPr>
          <w:cantSplit/>
          <w:trHeight w:val="284"/>
        </w:trPr>
        <w:tc>
          <w:tcPr>
            <w:tcW w:w="7567" w:type="dxa"/>
            <w:vAlign w:val="center"/>
          </w:tcPr>
          <w:p>
            <w:pPr>
              <w:autoSpaceDE w:val="0"/>
              <w:snapToGrid w:val="0"/>
              <w:rPr>
                <w:rFonts w:cs="Arial"/>
                <w:szCs w:val="22"/>
              </w:rPr>
            </w:pPr>
            <w:r>
              <w:rPr>
                <w:rFonts w:cs="Arial"/>
                <w:szCs w:val="22"/>
              </w:rPr>
              <w:t xml:space="preserve"> (+) Provisões no período</w:t>
            </w:r>
          </w:p>
        </w:tc>
        <w:tc>
          <w:tcPr>
            <w:tcW w:w="2126" w:type="dxa"/>
            <w:vAlign w:val="center"/>
          </w:tcPr>
          <w:p>
            <w:pPr>
              <w:autoSpaceDE w:val="0"/>
              <w:snapToGrid w:val="0"/>
              <w:jc w:val="right"/>
              <w:rPr>
                <w:rFonts w:cs="Arial"/>
                <w:szCs w:val="22"/>
              </w:rPr>
            </w:pPr>
            <w:r>
              <w:rPr>
                <w:rFonts w:cs="Arial"/>
                <w:szCs w:val="22"/>
              </w:rPr>
              <w:t>7.859</w:t>
            </w:r>
          </w:p>
        </w:tc>
      </w:tr>
      <w:tr>
        <w:trPr>
          <w:cantSplit/>
          <w:trHeight w:val="284"/>
        </w:trPr>
        <w:tc>
          <w:tcPr>
            <w:tcW w:w="7567" w:type="dxa"/>
            <w:vAlign w:val="center"/>
          </w:tcPr>
          <w:p>
            <w:pPr>
              <w:autoSpaceDE w:val="0"/>
              <w:snapToGrid w:val="0"/>
              <w:rPr>
                <w:rFonts w:cs="Arial"/>
                <w:szCs w:val="22"/>
              </w:rPr>
            </w:pPr>
            <w:r>
              <w:rPr>
                <w:rFonts w:cs="Arial"/>
                <w:szCs w:val="22"/>
              </w:rPr>
              <w:t xml:space="preserve"> (+) Reversões no período</w:t>
            </w:r>
          </w:p>
        </w:tc>
        <w:tc>
          <w:tcPr>
            <w:tcW w:w="2126" w:type="dxa"/>
            <w:vAlign w:val="center"/>
          </w:tcPr>
          <w:p>
            <w:pPr>
              <w:autoSpaceDE w:val="0"/>
              <w:snapToGrid w:val="0"/>
              <w:jc w:val="right"/>
              <w:rPr>
                <w:rFonts w:cs="Arial"/>
                <w:szCs w:val="22"/>
              </w:rPr>
            </w:pPr>
            <w:r>
              <w:rPr>
                <w:rFonts w:cs="Arial"/>
                <w:szCs w:val="22"/>
              </w:rPr>
              <w:t>(5.734)</w:t>
            </w:r>
          </w:p>
        </w:tc>
      </w:tr>
      <w:tr>
        <w:tc>
          <w:tcPr>
            <w:tcW w:w="7567" w:type="dxa"/>
          </w:tcPr>
          <w:p>
            <w:pPr>
              <w:autoSpaceDE w:val="0"/>
              <w:snapToGrid w:val="0"/>
              <w:rPr>
                <w:rFonts w:cs="Arial"/>
                <w:szCs w:val="22"/>
              </w:rPr>
            </w:pPr>
            <w:r>
              <w:rPr>
                <w:rFonts w:cs="Arial"/>
                <w:szCs w:val="22"/>
              </w:rPr>
              <w:t xml:space="preserve"> Saldo final em 31.03.2020</w:t>
            </w:r>
          </w:p>
        </w:tc>
        <w:tc>
          <w:tcPr>
            <w:tcW w:w="2126" w:type="dxa"/>
            <w:vAlign w:val="center"/>
          </w:tcPr>
          <w:p>
            <w:pPr>
              <w:pBdr>
                <w:top w:val="single" w:sz="4" w:space="1" w:color="000000"/>
                <w:bottom w:val="double" w:sz="1" w:space="1" w:color="000000"/>
              </w:pBdr>
              <w:autoSpaceDE w:val="0"/>
              <w:snapToGrid w:val="0"/>
              <w:jc w:val="right"/>
              <w:rPr>
                <w:rFonts w:cs="Arial"/>
                <w:b/>
                <w:szCs w:val="22"/>
              </w:rPr>
            </w:pPr>
            <w:r>
              <w:rPr>
                <w:rFonts w:cs="Arial"/>
                <w:b/>
                <w:szCs w:val="22"/>
              </w:rPr>
              <w:t>30.444</w:t>
            </w:r>
          </w:p>
        </w:tc>
      </w:tr>
    </w:tbl>
    <w:p>
      <w:pPr>
        <w:rPr>
          <w:rFonts w:cs="Arial"/>
        </w:rPr>
      </w:pPr>
    </w:p>
    <w:p>
      <w:pPr>
        <w:ind w:firstLine="709"/>
        <w:rPr>
          <w:rFonts w:cs="Arial"/>
        </w:rPr>
      </w:pPr>
    </w:p>
    <w:p>
      <w:pPr>
        <w:ind w:firstLine="709"/>
        <w:rPr>
          <w:rFonts w:cs="Arial"/>
        </w:rPr>
      </w:pPr>
      <w:r>
        <w:rPr>
          <w:rFonts w:cs="Arial"/>
        </w:rPr>
        <w:t xml:space="preserve">A Companhia, frente às provisões contingenciais, possui registrado no grupo de “Causas Judiciais Trabalhistas” (nota explicativa nº </w:t>
      </w:r>
      <w:hyperlink w:anchor="_11._CAUSAS_JUDICIAIS" w:history="1">
        <w:r>
          <w:rPr>
            <w:rStyle w:val="Hyperlink"/>
            <w:rFonts w:cs="Arial"/>
          </w:rPr>
          <w:t>11</w:t>
        </w:r>
      </w:hyperlink>
      <w:r>
        <w:rPr>
          <w:rFonts w:cs="Arial"/>
        </w:rPr>
        <w:t>), o valor de R$ 4,251 milhões que oportunamente será compensado na liquidação das ações judiciais e refere-se aos processos judiciais de licença prêmio, pensão e complementação de aposentadoria de ex-funcionários de responsabilidade do Governo do Estado de São Paulo. Esse valor, se consumada sua perda na esfera judicial, será passível de ressarcimento pelo Estado conforme observado em outros itens destas notas explicativas.</w:t>
      </w:r>
    </w:p>
    <w:p>
      <w:pPr>
        <w:rPr>
          <w:rFonts w:cs="Arial"/>
        </w:rPr>
      </w:pPr>
    </w:p>
    <w:p>
      <w:pPr>
        <w:ind w:firstLine="709"/>
        <w:rPr>
          <w:rFonts w:cs="Arial"/>
        </w:rPr>
      </w:pPr>
      <w:r>
        <w:rPr>
          <w:rFonts w:cs="Arial"/>
        </w:rPr>
        <w:t>A Companhia possui o valor de R$ 9,243 milhões classificado como risco possível de perdas em processos judiciais cíveis, trabalhistas e tributários conforme dados do departamento jurídico.</w:t>
      </w:r>
    </w:p>
    <w:p>
      <w:pPr>
        <w:rPr>
          <w:rFonts w:cs="Arial"/>
          <w:szCs w:val="22"/>
        </w:rPr>
      </w:pPr>
    </w:p>
    <w:p>
      <w:pPr>
        <w:rPr>
          <w:rFonts w:cs="Arial"/>
          <w:szCs w:val="22"/>
        </w:rPr>
      </w:pPr>
    </w:p>
    <w:p>
      <w:pPr>
        <w:rPr>
          <w:rFonts w:cs="Arial"/>
          <w:szCs w:val="22"/>
        </w:rPr>
      </w:pPr>
    </w:p>
    <w:p>
      <w:pPr>
        <w:pStyle w:val="Ttulo1"/>
        <w:rPr>
          <w:rFonts w:cs="Arial"/>
        </w:rPr>
      </w:pPr>
      <w:bookmarkStart w:id="138" w:name="_23._PATRIMÔNIO_LÍQUIDO_1"/>
      <w:bookmarkStart w:id="139" w:name="_Toc41376149"/>
      <w:bookmarkEnd w:id="138"/>
      <w:r>
        <w:t>23.</w:t>
      </w:r>
      <w:r>
        <w:tab/>
        <w:t>PATRIMÔNIO LÍQUIDO</w:t>
      </w:r>
      <w:bookmarkEnd w:id="139"/>
    </w:p>
    <w:tbl>
      <w:tblPr>
        <w:tblW w:w="9653" w:type="dxa"/>
        <w:tblCellMar>
          <w:left w:w="70" w:type="dxa"/>
          <w:right w:w="70" w:type="dxa"/>
        </w:tblCellMar>
        <w:tblLook w:val="04A0" w:firstRow="1" w:lastRow="0" w:firstColumn="1" w:lastColumn="0" w:noHBand="0" w:noVBand="1"/>
      </w:tblPr>
      <w:tblGrid>
        <w:gridCol w:w="3829"/>
        <w:gridCol w:w="1653"/>
        <w:gridCol w:w="159"/>
        <w:gridCol w:w="980"/>
        <w:gridCol w:w="274"/>
        <w:gridCol w:w="1242"/>
        <w:gridCol w:w="274"/>
        <w:gridCol w:w="1242"/>
      </w:tblGrid>
      <w:tr>
        <w:trPr>
          <w:trHeight w:val="300"/>
        </w:trPr>
        <w:tc>
          <w:tcPr>
            <w:tcW w:w="3829" w:type="dxa"/>
            <w:tcBorders>
              <w:top w:val="nil"/>
              <w:left w:val="nil"/>
              <w:bottom w:val="nil"/>
              <w:right w:val="nil"/>
            </w:tcBorders>
            <w:shd w:val="clear" w:color="auto" w:fill="auto"/>
            <w:vAlign w:val="center"/>
            <w:hideMark/>
          </w:tcPr>
          <w:p>
            <w:pPr>
              <w:pStyle w:val="Ttulo1"/>
              <w:rPr>
                <w:rFonts w:eastAsia="Times New Roman"/>
                <w:szCs w:val="22"/>
                <w:lang w:eastAsia="pt-BR"/>
              </w:rPr>
            </w:pPr>
            <w:bookmarkStart w:id="140" w:name="_23._PATRIMÔNIO_LÍQUIDO"/>
            <w:bookmarkEnd w:id="140"/>
          </w:p>
        </w:tc>
        <w:tc>
          <w:tcPr>
            <w:tcW w:w="1653" w:type="dxa"/>
            <w:tcBorders>
              <w:top w:val="nil"/>
              <w:left w:val="nil"/>
              <w:bottom w:val="single" w:sz="4" w:space="0" w:color="auto"/>
              <w:right w:val="nil"/>
            </w:tcBorders>
            <w:shd w:val="clear" w:color="auto" w:fill="auto"/>
            <w:vAlign w:val="center"/>
            <w:hideMark/>
          </w:tcPr>
          <w:p>
            <w:pPr>
              <w:widowControl/>
              <w:suppressAutoHyphens w:val="0"/>
              <w:rPr>
                <w:rFonts w:eastAsia="Times New Roman" w:cs="Arial"/>
                <w:sz w:val="20"/>
                <w:lang w:eastAsia="pt-BR"/>
              </w:rPr>
            </w:pPr>
          </w:p>
        </w:tc>
        <w:tc>
          <w:tcPr>
            <w:tcW w:w="159"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sz w:val="20"/>
                <w:lang w:eastAsia="pt-BR"/>
              </w:rPr>
            </w:pPr>
          </w:p>
        </w:tc>
        <w:tc>
          <w:tcPr>
            <w:tcW w:w="980"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sz w:val="20"/>
                <w:lang w:eastAsia="pt-BR"/>
              </w:rPr>
            </w:pPr>
          </w:p>
        </w:tc>
        <w:tc>
          <w:tcPr>
            <w:tcW w:w="274"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sz w:val="20"/>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cs="Arial"/>
                <w:b/>
                <w:bCs/>
                <w:szCs w:val="22"/>
              </w:rPr>
              <w:t>31.03.2020</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31.12.2019</w:t>
            </w:r>
          </w:p>
        </w:tc>
      </w:tr>
      <w:tr>
        <w:trPr>
          <w:trHeight w:val="300"/>
        </w:trPr>
        <w:tc>
          <w:tcPr>
            <w:tcW w:w="3829" w:type="dxa"/>
            <w:vMerge w:val="restart"/>
            <w:tcBorders>
              <w:top w:val="nil"/>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1653" w:type="dxa"/>
            <w:vMerge w:val="restart"/>
            <w:tcBorders>
              <w:top w:val="single" w:sz="4" w:space="0" w:color="auto"/>
              <w:left w:val="nil"/>
              <w:bottom w:val="sing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Número de ações ordinárias</w:t>
            </w:r>
          </w:p>
        </w:tc>
        <w:tc>
          <w:tcPr>
            <w:tcW w:w="159"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980"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274"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r>
      <w:tr>
        <w:trPr>
          <w:trHeight w:val="300"/>
        </w:trPr>
        <w:tc>
          <w:tcPr>
            <w:tcW w:w="3829" w:type="dxa"/>
            <w:vMerge/>
            <w:tcBorders>
              <w:top w:val="nil"/>
              <w:left w:val="nil"/>
              <w:bottom w:val="nil"/>
              <w:right w:val="nil"/>
            </w:tcBorders>
            <w:vAlign w:val="center"/>
            <w:hideMark/>
          </w:tcPr>
          <w:p>
            <w:pPr>
              <w:widowControl/>
              <w:suppressAutoHyphens w:val="0"/>
              <w:rPr>
                <w:rFonts w:eastAsia="Times New Roman" w:cs="Arial"/>
                <w:b/>
                <w:bCs/>
                <w:color w:val="000000"/>
                <w:szCs w:val="22"/>
                <w:lang w:eastAsia="pt-BR"/>
              </w:rPr>
            </w:pPr>
          </w:p>
        </w:tc>
        <w:tc>
          <w:tcPr>
            <w:tcW w:w="1653" w:type="dxa"/>
            <w:vMerge/>
            <w:tcBorders>
              <w:top w:val="nil"/>
              <w:left w:val="nil"/>
              <w:bottom w:val="single" w:sz="4" w:space="0" w:color="auto"/>
              <w:right w:val="nil"/>
            </w:tcBorders>
            <w:vAlign w:val="center"/>
            <w:hideMark/>
          </w:tcPr>
          <w:p>
            <w:pPr>
              <w:widowControl/>
              <w:suppressAutoHyphens w:val="0"/>
              <w:rPr>
                <w:rFonts w:eastAsia="Times New Roman" w:cs="Arial"/>
                <w:b/>
                <w:bCs/>
                <w:color w:val="000000"/>
                <w:szCs w:val="22"/>
                <w:lang w:eastAsia="pt-BR"/>
              </w:rPr>
            </w:pPr>
          </w:p>
        </w:tc>
        <w:tc>
          <w:tcPr>
            <w:tcW w:w="159" w:type="dxa"/>
            <w:tcBorders>
              <w:top w:val="nil"/>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980" w:type="dxa"/>
            <w:tcBorders>
              <w:top w:val="nil"/>
              <w:left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eastAsia="Times New Roman" w:cs="Arial"/>
                <w:sz w:val="20"/>
                <w:lang w:eastAsia="pt-BR"/>
              </w:rPr>
            </w:pPr>
          </w:p>
        </w:tc>
      </w:tr>
      <w:tr>
        <w:trPr>
          <w:trHeight w:val="300"/>
        </w:trPr>
        <w:tc>
          <w:tcPr>
            <w:tcW w:w="3829" w:type="dxa"/>
            <w:vMerge/>
            <w:tcBorders>
              <w:top w:val="nil"/>
              <w:left w:val="nil"/>
              <w:bottom w:val="nil"/>
              <w:right w:val="nil"/>
            </w:tcBorders>
            <w:vAlign w:val="center"/>
            <w:hideMark/>
          </w:tcPr>
          <w:p>
            <w:pPr>
              <w:widowControl/>
              <w:suppressAutoHyphens w:val="0"/>
              <w:rPr>
                <w:rFonts w:eastAsia="Times New Roman" w:cs="Arial"/>
                <w:b/>
                <w:bCs/>
                <w:color w:val="000000"/>
                <w:szCs w:val="22"/>
                <w:lang w:eastAsia="pt-BR"/>
              </w:rPr>
            </w:pPr>
          </w:p>
        </w:tc>
        <w:tc>
          <w:tcPr>
            <w:tcW w:w="1653" w:type="dxa"/>
            <w:vMerge/>
            <w:tcBorders>
              <w:top w:val="nil"/>
              <w:left w:val="nil"/>
              <w:bottom w:val="single" w:sz="4" w:space="0" w:color="auto"/>
              <w:right w:val="nil"/>
            </w:tcBorders>
            <w:vAlign w:val="center"/>
            <w:hideMark/>
          </w:tcPr>
          <w:p>
            <w:pPr>
              <w:widowControl/>
              <w:suppressAutoHyphens w:val="0"/>
              <w:rPr>
                <w:rFonts w:eastAsia="Times New Roman" w:cs="Arial"/>
                <w:b/>
                <w:bCs/>
                <w:color w:val="000000"/>
                <w:szCs w:val="22"/>
                <w:lang w:eastAsia="pt-BR"/>
              </w:rPr>
            </w:pPr>
          </w:p>
        </w:tc>
        <w:tc>
          <w:tcPr>
            <w:tcW w:w="159" w:type="dxa"/>
            <w:tcBorders>
              <w:top w:val="nil"/>
              <w:left w:val="nil"/>
              <w:bottom w:val="nil"/>
              <w:right w:val="nil"/>
            </w:tcBorders>
            <w:shd w:val="clear" w:color="auto" w:fill="auto"/>
            <w:vAlign w:val="center"/>
            <w:hideMark/>
          </w:tcPr>
          <w:p>
            <w:pPr>
              <w:widowControl/>
              <w:suppressAutoHyphens w:val="0"/>
              <w:jc w:val="right"/>
              <w:rPr>
                <w:rFonts w:eastAsia="Times New Roman" w:cs="Arial"/>
                <w:sz w:val="20"/>
                <w:lang w:eastAsia="pt-BR"/>
              </w:rPr>
            </w:pPr>
          </w:p>
        </w:tc>
        <w:tc>
          <w:tcPr>
            <w:tcW w:w="980"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Capital</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Capital</w:t>
            </w:r>
          </w:p>
        </w:tc>
      </w:tr>
      <w:tr>
        <w:trPr>
          <w:trHeight w:val="216"/>
        </w:trPr>
        <w:tc>
          <w:tcPr>
            <w:tcW w:w="3829" w:type="dxa"/>
            <w:tcBorders>
              <w:top w:val="nil"/>
              <w:left w:val="nil"/>
              <w:bottom w:val="nil"/>
              <w:right w:val="nil"/>
            </w:tcBorders>
            <w:shd w:val="clear" w:color="auto" w:fill="auto"/>
            <w:vAlign w:val="center"/>
            <w:hideMark/>
          </w:tcPr>
          <w:p>
            <w:pPr>
              <w:widowControl/>
              <w:suppressAutoHyphens w:val="0"/>
              <w:rPr>
                <w:rFonts w:eastAsia="Times New Roman" w:cs="Arial"/>
                <w:color w:val="000000"/>
                <w:szCs w:val="22"/>
                <w:lang w:eastAsia="pt-BR"/>
              </w:rPr>
            </w:pPr>
            <w:r>
              <w:rPr>
                <w:rFonts w:eastAsia="Times New Roman" w:cs="Arial"/>
                <w:color w:val="000000"/>
                <w:szCs w:val="22"/>
                <w:lang w:eastAsia="pt-BR"/>
              </w:rPr>
              <w:t>Governo Federal</w:t>
            </w:r>
          </w:p>
        </w:tc>
        <w:tc>
          <w:tcPr>
            <w:tcW w:w="1653"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34.294.143</w:t>
            </w:r>
          </w:p>
        </w:tc>
        <w:tc>
          <w:tcPr>
            <w:tcW w:w="159" w:type="dxa"/>
            <w:tcBorders>
              <w:top w:val="nil"/>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p>
        </w:tc>
        <w:tc>
          <w:tcPr>
            <w:tcW w:w="980"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99,68</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136.607</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136.607</w:t>
            </w:r>
          </w:p>
        </w:tc>
      </w:tr>
      <w:tr>
        <w:trPr>
          <w:trHeight w:val="399"/>
        </w:trPr>
        <w:tc>
          <w:tcPr>
            <w:tcW w:w="3829" w:type="dxa"/>
            <w:tcBorders>
              <w:top w:val="nil"/>
              <w:left w:val="nil"/>
              <w:bottom w:val="nil"/>
              <w:right w:val="nil"/>
            </w:tcBorders>
            <w:shd w:val="clear" w:color="auto" w:fill="auto"/>
            <w:vAlign w:val="center"/>
            <w:hideMark/>
          </w:tcPr>
          <w:p>
            <w:pPr>
              <w:widowControl/>
              <w:suppressAutoHyphens w:val="0"/>
              <w:rPr>
                <w:rFonts w:eastAsia="Times New Roman" w:cs="Arial"/>
                <w:color w:val="000000"/>
                <w:szCs w:val="22"/>
                <w:lang w:eastAsia="pt-BR"/>
              </w:rPr>
            </w:pPr>
            <w:r>
              <w:rPr>
                <w:rFonts w:eastAsia="Times New Roman" w:cs="Arial"/>
                <w:color w:val="000000"/>
                <w:szCs w:val="22"/>
                <w:lang w:eastAsia="pt-BR"/>
              </w:rPr>
              <w:t>Pessoas Jurídicas</w:t>
            </w:r>
          </w:p>
        </w:tc>
        <w:tc>
          <w:tcPr>
            <w:tcW w:w="1653" w:type="dxa"/>
            <w:tcBorders>
              <w:top w:val="nil"/>
              <w:left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108.880</w:t>
            </w:r>
          </w:p>
        </w:tc>
        <w:tc>
          <w:tcPr>
            <w:tcW w:w="159" w:type="dxa"/>
            <w:tcBorders>
              <w:top w:val="nil"/>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p>
        </w:tc>
        <w:tc>
          <w:tcPr>
            <w:tcW w:w="980" w:type="dxa"/>
            <w:tcBorders>
              <w:top w:val="nil"/>
              <w:left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0,32</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434</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eastAsia="Times New Roman" w:cs="Arial"/>
                <w:color w:val="000000"/>
                <w:szCs w:val="22"/>
                <w:lang w:eastAsia="pt-BR"/>
              </w:rPr>
            </w:pPr>
            <w:r>
              <w:rPr>
                <w:rFonts w:eastAsia="Times New Roman" w:cs="Arial"/>
                <w:color w:val="000000"/>
                <w:szCs w:val="22"/>
                <w:lang w:eastAsia="pt-BR"/>
              </w:rPr>
              <w:t>434</w:t>
            </w:r>
          </w:p>
        </w:tc>
      </w:tr>
      <w:tr>
        <w:trPr>
          <w:trHeight w:val="300"/>
        </w:trPr>
        <w:tc>
          <w:tcPr>
            <w:tcW w:w="3829" w:type="dxa"/>
            <w:tcBorders>
              <w:top w:val="nil"/>
              <w:left w:val="nil"/>
              <w:bottom w:val="nil"/>
              <w:right w:val="nil"/>
            </w:tcBorders>
            <w:shd w:val="clear" w:color="auto" w:fill="auto"/>
            <w:vAlign w:val="center"/>
            <w:hideMark/>
          </w:tcPr>
          <w:p>
            <w:pPr>
              <w:widowControl/>
              <w:suppressAutoHyphens w:val="0"/>
              <w:jc w:val="right"/>
              <w:rPr>
                <w:rFonts w:eastAsia="Times New Roman" w:cs="Arial"/>
                <w:color w:val="000000"/>
                <w:szCs w:val="22"/>
                <w:lang w:eastAsia="pt-BR"/>
              </w:rPr>
            </w:pPr>
          </w:p>
        </w:tc>
        <w:tc>
          <w:tcPr>
            <w:tcW w:w="1653"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34.403.023</w:t>
            </w:r>
          </w:p>
        </w:tc>
        <w:tc>
          <w:tcPr>
            <w:tcW w:w="159" w:type="dxa"/>
            <w:tcBorders>
              <w:top w:val="nil"/>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980"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100,00</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1242"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137.041</w:t>
            </w: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cs="Arial"/>
                <w:b/>
                <w:bCs/>
                <w:color w:val="000000"/>
                <w:szCs w:val="22"/>
                <w:lang w:eastAsia="pt-BR"/>
              </w:rPr>
            </w:pPr>
          </w:p>
        </w:tc>
        <w:tc>
          <w:tcPr>
            <w:tcW w:w="1242"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eastAsia="Times New Roman" w:cs="Arial"/>
                <w:b/>
                <w:bCs/>
                <w:color w:val="000000"/>
                <w:szCs w:val="22"/>
                <w:lang w:eastAsia="pt-BR"/>
              </w:rPr>
            </w:pPr>
            <w:r>
              <w:rPr>
                <w:rFonts w:eastAsia="Times New Roman" w:cs="Arial"/>
                <w:b/>
                <w:bCs/>
                <w:color w:val="000000"/>
                <w:szCs w:val="22"/>
                <w:lang w:eastAsia="pt-BR"/>
              </w:rPr>
              <w:t>137.041</w:t>
            </w:r>
          </w:p>
        </w:tc>
      </w:tr>
    </w:tbl>
    <w:p>
      <w:pPr>
        <w:rPr>
          <w:rFonts w:cs="Arial"/>
        </w:rPr>
      </w:pPr>
    </w:p>
    <w:p>
      <w:pPr>
        <w:pStyle w:val="Ttulo2"/>
      </w:pPr>
      <w:bookmarkStart w:id="141" w:name="_23.1._Capital_Social"/>
      <w:bookmarkStart w:id="142" w:name="_Toc41376150"/>
      <w:bookmarkEnd w:id="141"/>
      <w:r>
        <w:t>23.1. Capital Social e Composição Acionária</w:t>
      </w:r>
      <w:bookmarkEnd w:id="142"/>
    </w:p>
    <w:p>
      <w:pPr>
        <w:ind w:firstLine="435"/>
        <w:rPr>
          <w:rFonts w:cs="Arial"/>
        </w:rPr>
      </w:pPr>
      <w:r>
        <w:rPr>
          <w:rFonts w:cs="Arial"/>
        </w:rPr>
        <w:t>O capital social subscrito e integralmente realizado é composto por 34.403.023 ações ordinárias nominativas, sem valor nominal em 31 de março de 2020.</w:t>
      </w:r>
    </w:p>
    <w:p>
      <w:pPr>
        <w:ind w:firstLine="426"/>
        <w:rPr>
          <w:rFonts w:cs="Arial"/>
        </w:rPr>
      </w:pPr>
      <w:r>
        <w:rPr>
          <w:rFonts w:cs="Arial"/>
        </w:rPr>
        <w:t xml:space="preserve">A Ceagesp foi qualificada no âmbito do </w:t>
      </w:r>
      <w:r>
        <w:t xml:space="preserve">Programa de Parcerias de Investimentos da Presidência da República – </w:t>
      </w:r>
      <w:r>
        <w:rPr>
          <w:rFonts w:cs="Arial"/>
        </w:rPr>
        <w:t>PPI e incluída no Programa Nacional de Desestatização – PND, conforme Decreto nº 10.045 de 4 de outubro de 2019, publicado em 7 de outubro de 2019.</w:t>
      </w:r>
    </w:p>
    <w:p>
      <w:pPr>
        <w:ind w:firstLine="426"/>
        <w:rPr>
          <w:rFonts w:cs="Arial"/>
        </w:rPr>
      </w:pPr>
      <w:r>
        <w:rPr>
          <w:rFonts w:cs="Arial"/>
        </w:rPr>
        <w:t xml:space="preserve"> Banco Nacional de Desenvolvimento – BNDES foi designado como responsável pela execução e acompanhamento dos atos necessários à desestatização da Ceagesp, nos termos do § 1º do art. 6º da Lei Federal nº 9.491 de 9 de setembro de 1997.</w:t>
      </w:r>
    </w:p>
    <w:p>
      <w:pPr>
        <w:ind w:firstLine="435"/>
        <w:rPr>
          <w:rFonts w:cs="Arial"/>
        </w:rPr>
      </w:pPr>
      <w:r>
        <w:rPr>
          <w:rFonts w:cs="Arial"/>
        </w:rPr>
        <w:t>Com a inclusão da Ceagesp no PND e em atendimento ao art. 10 da Lei Federal nº 9.491 de 9 de setembro de 1997, a Ceagesp realizou o registro de bloqueio das ações de propriedade da União (Governo Federal) no livro de escrituração e o BNDES registrou as ações no Fundo Nacional de Desestatização - FND, dentro do prazo legal de cinco dias contados da data da publicação do Decreto nº 10.045.</w:t>
      </w:r>
    </w:p>
    <w:p>
      <w:pPr>
        <w:rPr>
          <w:rFonts w:cs="Arial"/>
        </w:rPr>
      </w:pPr>
    </w:p>
    <w:p>
      <w:pPr>
        <w:pStyle w:val="Ttulo2"/>
        <w:rPr>
          <w:rStyle w:val="Ttulo2Char"/>
          <w:b/>
        </w:rPr>
      </w:pPr>
      <w:bookmarkStart w:id="143" w:name="_23.3._Reserva_Estatutária"/>
      <w:bookmarkStart w:id="144" w:name="_Toc41376151"/>
      <w:bookmarkEnd w:id="143"/>
      <w:r>
        <w:rPr>
          <w:rStyle w:val="Ttulo2Char"/>
          <w:b/>
        </w:rPr>
        <w:t>23.2. Reserva de Reavaliação</w:t>
      </w:r>
      <w:bookmarkEnd w:id="144"/>
    </w:p>
    <w:p>
      <w:pPr>
        <w:ind w:firstLine="435"/>
      </w:pPr>
      <w:r>
        <w:t>O saldo da reserva de reavaliação no período é de R$ 16,102 milhões. Foram realizados R$142 mil até 31 de março de 2020 e transferidos para a conta de lucro do exercício corrente. Esta reserva é resultado da reavaliação realizada no exercício de 1986 de todos os itens das contas de terrenos, edificações e equipamentos e instalações, localizados em Unidades operacionais ativas. A Companhia reavaliou os bens, facultado pela Deliberação CVM nº 27, de 5 de fevereiro de 1986.</w:t>
      </w:r>
    </w:p>
    <w:p>
      <w:pPr>
        <w:widowControl/>
        <w:suppressAutoHyphens w:val="0"/>
        <w:rPr>
          <w:rFonts w:cs="Arial"/>
        </w:rPr>
      </w:pPr>
    </w:p>
    <w:p>
      <w:pPr>
        <w:widowControl/>
        <w:suppressAutoHyphens w:val="0"/>
        <w:rPr>
          <w:rFonts w:cs="Arial"/>
        </w:rPr>
      </w:pPr>
    </w:p>
    <w:p>
      <w:pPr>
        <w:pStyle w:val="Ttulo2"/>
        <w:rPr>
          <w:rStyle w:val="Ttulo2Char"/>
          <w:b/>
        </w:rPr>
      </w:pPr>
      <w:bookmarkStart w:id="145" w:name="_23.2._Reserva_Especial"/>
      <w:bookmarkStart w:id="146" w:name="_23.6._Reserva_Especial"/>
      <w:bookmarkStart w:id="147" w:name="_Toc41376152"/>
      <w:bookmarkEnd w:id="145"/>
      <w:bookmarkEnd w:id="146"/>
      <w:r>
        <w:rPr>
          <w:rStyle w:val="Ttulo2Char"/>
          <w:b/>
        </w:rPr>
        <w:lastRenderedPageBreak/>
        <w:t>23.3. Reserva Especial</w:t>
      </w:r>
      <w:bookmarkEnd w:id="147"/>
    </w:p>
    <w:p>
      <w:pPr>
        <w:ind w:firstLine="435"/>
      </w:pPr>
      <w:r>
        <w:t>Conforme deliberação em Assembleia Geral Extraordinária realizada em 23 de março de 2018, o saldo de dividendos obrigatórios do exercício de 2015 foi transferido para a conta de Reserva Especial. O saldo é corrigido mensalmente pela taxa Selic, conforme § 4º do artigo 1º do Decreto nº 2.673, de 16 de julho de 1998. A transferência foi deliberada nas seguintes condições: a) a Reserva Especial não poderá ser absorvida por prejuízos de exercícios subsequentes; b) deverão incidir encargos financeiros equivalentes à taxa Selic e juros moratórios.</w:t>
      </w:r>
    </w:p>
    <w:p>
      <w:pPr>
        <w:widowControl/>
        <w:suppressAutoHyphens w:val="0"/>
        <w:rPr>
          <w:rFonts w:cs="Arial"/>
          <w:b/>
        </w:rPr>
      </w:pPr>
      <w:bookmarkStart w:id="148" w:name="_23.3._Prejuízos_acumulados"/>
      <w:bookmarkEnd w:id="148"/>
    </w:p>
    <w:p>
      <w:pPr>
        <w:pStyle w:val="Ttulo2"/>
        <w:rPr>
          <w:rStyle w:val="Ttulo2Char"/>
          <w:b/>
        </w:rPr>
      </w:pPr>
      <w:bookmarkStart w:id="149" w:name="_Toc41376153"/>
      <w:r>
        <w:rPr>
          <w:rStyle w:val="Ttulo2Char"/>
          <w:b/>
        </w:rPr>
        <w:t>23.4. Prejuízos acumulados</w:t>
      </w:r>
      <w:bookmarkEnd w:id="149"/>
    </w:p>
    <w:p>
      <w:pPr>
        <w:ind w:firstLine="435"/>
      </w:pPr>
      <w:r>
        <w:t xml:space="preserve">O prejuízo no período foi de R$ 5,917 milhões. Considerando o saldo da conta de lucro do exercício correspondente à realização da reserva de reavaliação de R$ 142 mil, conforme nota explicativa nº </w:t>
      </w:r>
      <w:hyperlink w:anchor="_23.1._Reserva_de" w:history="1">
        <w:r>
          <w:t>23.1</w:t>
        </w:r>
      </w:hyperlink>
      <w:r>
        <w:t>, resultou no prejuízo acumulado de R$ 5,775 milhões.</w:t>
      </w:r>
    </w:p>
    <w:p>
      <w:pPr>
        <w:widowControl/>
        <w:suppressAutoHyphens w:val="0"/>
        <w:rPr>
          <w:rFonts w:cs="Arial"/>
          <w:b/>
        </w:rPr>
      </w:pPr>
    </w:p>
    <w:p>
      <w:pPr>
        <w:pStyle w:val="Ttulo1"/>
        <w:rPr>
          <w:szCs w:val="22"/>
        </w:rPr>
      </w:pPr>
      <w:bookmarkStart w:id="150" w:name="_24.__RECEITAS,"/>
      <w:bookmarkStart w:id="151" w:name="_Toc41376154"/>
      <w:bookmarkEnd w:id="150"/>
      <w:r>
        <w:rPr>
          <w:szCs w:val="22"/>
        </w:rPr>
        <w:t xml:space="preserve">24. </w:t>
      </w:r>
      <w:r>
        <w:rPr>
          <w:szCs w:val="22"/>
        </w:rPr>
        <w:tab/>
        <w:t>RECEITAS, CUSTOS E DESPESAS</w:t>
      </w:r>
      <w:bookmarkEnd w:id="151"/>
    </w:p>
    <w:p>
      <w:pPr>
        <w:widowControl/>
        <w:suppressAutoHyphens w:val="0"/>
        <w:rPr>
          <w:rFonts w:cs="Arial"/>
          <w:b/>
        </w:rPr>
      </w:pPr>
    </w:p>
    <w:p>
      <w:pPr>
        <w:widowControl/>
        <w:suppressAutoHyphens w:val="0"/>
        <w:ind w:firstLine="435"/>
        <w:rPr>
          <w:rFonts w:cs="Arial"/>
        </w:rPr>
      </w:pPr>
      <w:r>
        <w:rPr>
          <w:rFonts w:cs="Arial"/>
        </w:rPr>
        <w:t xml:space="preserve">O resultado líquido do período acumulado até 31 de março de 2020 foi um prejuízo de R$ 5,917 milhões, enquanto que em 31 de março de 2019 o prejuízo foi de R$ 5,726 milhões. A variação apresentada foi de R$ 191 mil, apesar das receitas operacionais brutas terem aumentado R$4,973 milhões, uma variação de aproximadamente 17,42%, com aumento expressivo na rede armazenadora. Os custos reduziram R$ 2,923 milhões, cerca de 18,65% em relação ao primeiro trimestre de 2019 e os principais fatores que contribuíram foram a) diminuição em custos com pessoal, conforme nota explicativa </w:t>
      </w:r>
      <w:hyperlink w:anchor="_24.2.1._Custos_com" w:history="1">
        <w:r>
          <w:rPr>
            <w:rStyle w:val="Hyperlink"/>
            <w:rFonts w:cs="Arial"/>
          </w:rPr>
          <w:t>24.2.1</w:t>
        </w:r>
      </w:hyperlink>
      <w:r>
        <w:rPr>
          <w:rFonts w:cs="Arial"/>
        </w:rPr>
        <w:t xml:space="preserve">; e b) gastos diversos, com o aumento da recuperação de IPTU, conforme nota explicativa nº </w:t>
      </w:r>
      <w:hyperlink w:anchor="_24.2.6._Custos_Diversos" w:history="1">
        <w:r>
          <w:rPr>
            <w:rStyle w:val="Hyperlink"/>
            <w:rFonts w:cs="Arial"/>
          </w:rPr>
          <w:t>24.2.6</w:t>
        </w:r>
      </w:hyperlink>
      <w:r>
        <w:rPr>
          <w:rFonts w:cs="Arial"/>
        </w:rPr>
        <w:t xml:space="preserve">. Aumento nas despesas gerais e administrativas em R$1,757 milhão, principalmente na conta de provisões, conforme nota explicativa nº </w:t>
      </w:r>
      <w:hyperlink w:anchor="_24.3.2._Despesas_com" w:history="1">
        <w:r>
          <w:rPr>
            <w:rStyle w:val="Hyperlink"/>
            <w:rFonts w:cs="Arial"/>
          </w:rPr>
          <w:t>24.3.2</w:t>
        </w:r>
      </w:hyperlink>
      <w:r>
        <w:rPr>
          <w:rFonts w:cs="Arial"/>
        </w:rPr>
        <w:t>.</w:t>
      </w:r>
    </w:p>
    <w:p>
      <w:pPr>
        <w:widowControl/>
        <w:suppressAutoHyphens w:val="0"/>
        <w:rPr>
          <w:rFonts w:cs="Arial"/>
        </w:rPr>
      </w:pPr>
    </w:p>
    <w:p>
      <w:pPr>
        <w:pStyle w:val="Ttulo2"/>
        <w:rPr>
          <w:highlight w:val="cyan"/>
        </w:rPr>
      </w:pPr>
      <w:bookmarkStart w:id="152" w:name="_24.1._Receita_Operacional_1"/>
      <w:bookmarkStart w:id="153" w:name="_Toc41376155"/>
      <w:bookmarkEnd w:id="152"/>
      <w:r>
        <w:t>24.1. Receita Operacional Líquida</w:t>
      </w:r>
      <w:bookmarkEnd w:id="153"/>
    </w:p>
    <w:tbl>
      <w:tblPr>
        <w:tblW w:w="9769" w:type="dxa"/>
        <w:tblLayout w:type="fixed"/>
        <w:tblCellMar>
          <w:left w:w="54" w:type="dxa"/>
          <w:right w:w="54" w:type="dxa"/>
        </w:tblCellMar>
        <w:tblLook w:val="0000" w:firstRow="0" w:lastRow="0" w:firstColumn="0" w:lastColumn="0" w:noHBand="0" w:noVBand="0"/>
      </w:tblPr>
      <w:tblGrid>
        <w:gridCol w:w="6575"/>
        <w:gridCol w:w="52"/>
        <w:gridCol w:w="1507"/>
        <w:gridCol w:w="64"/>
        <w:gridCol w:w="1495"/>
        <w:gridCol w:w="76"/>
      </w:tblGrid>
      <w:tr>
        <w:trPr>
          <w:trHeight w:val="397"/>
        </w:trPr>
        <w:tc>
          <w:tcPr>
            <w:tcW w:w="6627" w:type="dxa"/>
            <w:gridSpan w:val="2"/>
          </w:tcPr>
          <w:p>
            <w:pPr>
              <w:pStyle w:val="Ttulo2"/>
              <w:ind w:left="-54"/>
            </w:pPr>
            <w:bookmarkStart w:id="154" w:name="_24.1._Receita_Operacional"/>
            <w:bookmarkEnd w:id="154"/>
          </w:p>
        </w:tc>
        <w:tc>
          <w:tcPr>
            <w:tcW w:w="1571" w:type="dxa"/>
            <w:gridSpan w:val="2"/>
          </w:tcPr>
          <w:p>
            <w:pPr>
              <w:pBdr>
                <w:bottom w:val="single" w:sz="4" w:space="1" w:color="000000"/>
              </w:pBdr>
              <w:autoSpaceDE w:val="0"/>
              <w:snapToGrid w:val="0"/>
              <w:jc w:val="right"/>
              <w:rPr>
                <w:rFonts w:cs="Arial"/>
                <w:b/>
                <w:bCs/>
                <w:szCs w:val="22"/>
              </w:rPr>
            </w:pPr>
            <w:r>
              <w:rPr>
                <w:rFonts w:cs="Arial"/>
                <w:b/>
                <w:bCs/>
                <w:szCs w:val="22"/>
              </w:rPr>
              <w:t>31.03.2020</w:t>
            </w:r>
          </w:p>
        </w:tc>
        <w:tc>
          <w:tcPr>
            <w:tcW w:w="1571" w:type="dxa"/>
            <w:gridSpan w:val="2"/>
          </w:tcPr>
          <w:p>
            <w:pPr>
              <w:pBdr>
                <w:bottom w:val="single" w:sz="4" w:space="1" w:color="000000"/>
              </w:pBdr>
              <w:autoSpaceDE w:val="0"/>
              <w:snapToGrid w:val="0"/>
              <w:jc w:val="right"/>
              <w:rPr>
                <w:rFonts w:cs="Arial"/>
                <w:b/>
                <w:bCs/>
                <w:szCs w:val="22"/>
              </w:rPr>
            </w:pPr>
            <w:r>
              <w:rPr>
                <w:rFonts w:cs="Arial"/>
                <w:b/>
                <w:bCs/>
                <w:szCs w:val="22"/>
              </w:rPr>
              <w:t>31.03.2019</w:t>
            </w:r>
          </w:p>
        </w:tc>
      </w:tr>
      <w:tr>
        <w:trPr>
          <w:trHeight w:val="271"/>
        </w:trPr>
        <w:tc>
          <w:tcPr>
            <w:tcW w:w="6627" w:type="dxa"/>
            <w:gridSpan w:val="2"/>
          </w:tcPr>
          <w:p>
            <w:pPr>
              <w:rPr>
                <w:rFonts w:cs="Arial"/>
                <w:sz w:val="20"/>
              </w:rPr>
            </w:pPr>
            <w:r>
              <w:rPr>
                <w:rFonts w:cs="Arial"/>
                <w:sz w:val="20"/>
              </w:rPr>
              <w:t>Serviços Prestados</w:t>
            </w:r>
          </w:p>
        </w:tc>
        <w:tc>
          <w:tcPr>
            <w:tcW w:w="1571" w:type="dxa"/>
            <w:gridSpan w:val="2"/>
          </w:tcPr>
          <w:p>
            <w:pPr>
              <w:tabs>
                <w:tab w:val="left" w:pos="1273"/>
              </w:tabs>
              <w:autoSpaceDE w:val="0"/>
              <w:snapToGrid w:val="0"/>
              <w:jc w:val="right"/>
              <w:rPr>
                <w:rFonts w:cs="Arial"/>
                <w:szCs w:val="22"/>
              </w:rPr>
            </w:pPr>
            <w:r>
              <w:rPr>
                <w:rFonts w:cs="Arial"/>
                <w:szCs w:val="22"/>
              </w:rPr>
              <w:t>33.362</w:t>
            </w:r>
          </w:p>
        </w:tc>
        <w:tc>
          <w:tcPr>
            <w:tcW w:w="1571" w:type="dxa"/>
            <w:gridSpan w:val="2"/>
          </w:tcPr>
          <w:p>
            <w:pPr>
              <w:tabs>
                <w:tab w:val="left" w:pos="1273"/>
              </w:tabs>
              <w:autoSpaceDE w:val="0"/>
              <w:snapToGrid w:val="0"/>
              <w:jc w:val="right"/>
              <w:rPr>
                <w:rFonts w:cs="Arial"/>
                <w:szCs w:val="22"/>
              </w:rPr>
            </w:pPr>
            <w:r>
              <w:rPr>
                <w:rFonts w:cs="Arial"/>
                <w:szCs w:val="22"/>
              </w:rPr>
              <w:t>28.518</w:t>
            </w:r>
          </w:p>
        </w:tc>
      </w:tr>
      <w:tr>
        <w:trPr>
          <w:trHeight w:val="271"/>
        </w:trPr>
        <w:tc>
          <w:tcPr>
            <w:tcW w:w="6627" w:type="dxa"/>
            <w:gridSpan w:val="2"/>
          </w:tcPr>
          <w:p>
            <w:pPr>
              <w:rPr>
                <w:rFonts w:cs="Arial"/>
                <w:sz w:val="20"/>
              </w:rPr>
            </w:pPr>
            <w:r>
              <w:rPr>
                <w:rFonts w:cs="Arial"/>
                <w:sz w:val="20"/>
              </w:rPr>
              <w:t>Venda de Produtos</w:t>
            </w:r>
          </w:p>
        </w:tc>
        <w:tc>
          <w:tcPr>
            <w:tcW w:w="1571" w:type="dxa"/>
            <w:gridSpan w:val="2"/>
          </w:tcPr>
          <w:p>
            <w:pPr>
              <w:tabs>
                <w:tab w:val="center" w:pos="731"/>
                <w:tab w:val="right" w:pos="1463"/>
              </w:tabs>
              <w:autoSpaceDE w:val="0"/>
              <w:snapToGrid w:val="0"/>
              <w:rPr>
                <w:rFonts w:cs="Arial"/>
                <w:szCs w:val="22"/>
              </w:rPr>
            </w:pPr>
            <w:r>
              <w:rPr>
                <w:rFonts w:cs="Arial"/>
                <w:szCs w:val="22"/>
              </w:rPr>
              <w:tab/>
            </w:r>
            <w:r>
              <w:rPr>
                <w:rFonts w:cs="Arial"/>
                <w:szCs w:val="22"/>
              </w:rPr>
              <w:tab/>
              <w:t>144</w:t>
            </w:r>
          </w:p>
        </w:tc>
        <w:tc>
          <w:tcPr>
            <w:tcW w:w="1571" w:type="dxa"/>
            <w:gridSpan w:val="2"/>
          </w:tcPr>
          <w:p>
            <w:pPr>
              <w:tabs>
                <w:tab w:val="center" w:pos="731"/>
                <w:tab w:val="right" w:pos="1463"/>
              </w:tabs>
              <w:autoSpaceDE w:val="0"/>
              <w:snapToGrid w:val="0"/>
              <w:rPr>
                <w:rFonts w:cs="Arial"/>
                <w:szCs w:val="22"/>
              </w:rPr>
            </w:pPr>
            <w:r>
              <w:rPr>
                <w:rFonts w:cs="Arial"/>
                <w:szCs w:val="22"/>
              </w:rPr>
              <w:tab/>
            </w:r>
            <w:r>
              <w:rPr>
                <w:rFonts w:cs="Arial"/>
                <w:szCs w:val="22"/>
              </w:rPr>
              <w:tab/>
              <w:t>15</w:t>
            </w:r>
          </w:p>
        </w:tc>
      </w:tr>
      <w:tr>
        <w:trPr>
          <w:gridAfter w:val="1"/>
          <w:wAfter w:w="76" w:type="dxa"/>
        </w:trPr>
        <w:tc>
          <w:tcPr>
            <w:tcW w:w="6575" w:type="dxa"/>
          </w:tcPr>
          <w:p>
            <w:pPr>
              <w:rPr>
                <w:rFonts w:cs="Arial"/>
                <w:b/>
                <w:bCs/>
                <w:sz w:val="20"/>
              </w:rPr>
            </w:pPr>
            <w:r>
              <w:rPr>
                <w:rFonts w:cs="Arial"/>
                <w:b/>
                <w:bCs/>
                <w:sz w:val="20"/>
              </w:rPr>
              <w:t>RECEITA OPERACIONAL BRUTA</w:t>
            </w:r>
          </w:p>
          <w:p>
            <w:pPr>
              <w:rPr>
                <w:rFonts w:cs="Arial"/>
                <w:b/>
                <w:bCs/>
                <w:sz w:val="20"/>
              </w:rPr>
            </w:pPr>
          </w:p>
        </w:tc>
        <w:tc>
          <w:tcPr>
            <w:tcW w:w="1559" w:type="dxa"/>
            <w:gridSpan w:val="2"/>
          </w:tcPr>
          <w:p>
            <w:pPr>
              <w:pBdr>
                <w:top w:val="single" w:sz="4" w:space="1" w:color="000000"/>
                <w:bottom w:val="double" w:sz="1" w:space="1" w:color="000000"/>
              </w:pBdr>
              <w:autoSpaceDE w:val="0"/>
              <w:snapToGrid w:val="0"/>
              <w:jc w:val="right"/>
              <w:rPr>
                <w:rFonts w:cs="Arial"/>
                <w:b/>
                <w:szCs w:val="22"/>
              </w:rPr>
            </w:pPr>
            <w:r>
              <w:rPr>
                <w:rFonts w:cs="Arial"/>
                <w:b/>
                <w:szCs w:val="22"/>
              </w:rPr>
              <w:t>33.506</w:t>
            </w:r>
          </w:p>
        </w:tc>
        <w:tc>
          <w:tcPr>
            <w:tcW w:w="1559" w:type="dxa"/>
            <w:gridSpan w:val="2"/>
          </w:tcPr>
          <w:p>
            <w:pPr>
              <w:pBdr>
                <w:top w:val="single" w:sz="4" w:space="1" w:color="000000"/>
                <w:bottom w:val="double" w:sz="1" w:space="1" w:color="000000"/>
              </w:pBdr>
              <w:autoSpaceDE w:val="0"/>
              <w:snapToGrid w:val="0"/>
              <w:jc w:val="right"/>
              <w:rPr>
                <w:rFonts w:cs="Arial"/>
                <w:b/>
                <w:szCs w:val="22"/>
              </w:rPr>
            </w:pPr>
            <w:r>
              <w:rPr>
                <w:rFonts w:cs="Arial"/>
                <w:b/>
                <w:szCs w:val="22"/>
              </w:rPr>
              <w:t>28.533</w:t>
            </w:r>
          </w:p>
        </w:tc>
      </w:tr>
    </w:tbl>
    <w:p>
      <w:pPr>
        <w:rPr>
          <w:rFonts w:cs="Arial"/>
          <w:highlight w:val="yellow"/>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rPr>
                <w:rFonts w:cs="Arial"/>
                <w:b/>
                <w:bCs/>
                <w:sz w:val="20"/>
              </w:rPr>
            </w:pPr>
            <w:r>
              <w:rPr>
                <w:rFonts w:cs="Arial"/>
                <w:b/>
                <w:bCs/>
                <w:sz w:val="20"/>
              </w:rPr>
              <w:t>DEDUÇÕES DA RECEITA BRUTA</w:t>
            </w:r>
          </w:p>
        </w:tc>
        <w:tc>
          <w:tcPr>
            <w:tcW w:w="1559" w:type="dxa"/>
          </w:tcPr>
          <w:p>
            <w:pPr>
              <w:autoSpaceDE w:val="0"/>
              <w:snapToGrid w:val="0"/>
              <w:jc w:val="center"/>
              <w:rPr>
                <w:rFonts w:cs="Arial"/>
                <w:szCs w:val="22"/>
              </w:rPr>
            </w:pPr>
          </w:p>
        </w:tc>
        <w:tc>
          <w:tcPr>
            <w:tcW w:w="1559" w:type="dxa"/>
          </w:tcPr>
          <w:p>
            <w:pPr>
              <w:autoSpaceDE w:val="0"/>
              <w:snapToGrid w:val="0"/>
              <w:jc w:val="right"/>
              <w:rPr>
                <w:rFonts w:cs="Arial"/>
                <w:szCs w:val="22"/>
              </w:rPr>
            </w:pPr>
          </w:p>
        </w:tc>
      </w:tr>
      <w:tr>
        <w:trPr>
          <w:trHeight w:val="240"/>
        </w:trPr>
        <w:tc>
          <w:tcPr>
            <w:tcW w:w="6575" w:type="dxa"/>
          </w:tcPr>
          <w:p>
            <w:pPr>
              <w:rPr>
                <w:rFonts w:cs="Arial"/>
                <w:sz w:val="20"/>
              </w:rPr>
            </w:pPr>
            <w:r>
              <w:rPr>
                <w:rFonts w:cs="Arial"/>
                <w:sz w:val="20"/>
              </w:rPr>
              <w:t>Impostos Incidentes sobre Serviços Prestados e Vendas</w:t>
            </w:r>
          </w:p>
        </w:tc>
        <w:tc>
          <w:tcPr>
            <w:tcW w:w="1559" w:type="dxa"/>
          </w:tcPr>
          <w:p>
            <w:pPr>
              <w:autoSpaceDE w:val="0"/>
              <w:snapToGrid w:val="0"/>
              <w:jc w:val="right"/>
              <w:rPr>
                <w:rFonts w:cs="Arial"/>
                <w:szCs w:val="22"/>
              </w:rPr>
            </w:pPr>
            <w:r>
              <w:rPr>
                <w:rFonts w:cs="Arial"/>
                <w:szCs w:val="22"/>
              </w:rPr>
              <w:t>(5.552)</w:t>
            </w:r>
          </w:p>
        </w:tc>
        <w:tc>
          <w:tcPr>
            <w:tcW w:w="1559" w:type="dxa"/>
          </w:tcPr>
          <w:p>
            <w:pPr>
              <w:autoSpaceDE w:val="0"/>
              <w:snapToGrid w:val="0"/>
              <w:jc w:val="right"/>
              <w:rPr>
                <w:rFonts w:cs="Arial"/>
                <w:szCs w:val="22"/>
              </w:rPr>
            </w:pPr>
            <w:r>
              <w:rPr>
                <w:rFonts w:cs="Arial"/>
                <w:szCs w:val="22"/>
              </w:rPr>
              <w:t>(4.692)</w:t>
            </w:r>
          </w:p>
        </w:tc>
      </w:tr>
      <w:tr>
        <w:tc>
          <w:tcPr>
            <w:tcW w:w="6575" w:type="dxa"/>
          </w:tcPr>
          <w:p>
            <w:pPr>
              <w:rPr>
                <w:rFonts w:cs="Arial"/>
                <w:b/>
                <w:bCs/>
                <w:sz w:val="20"/>
              </w:rPr>
            </w:pPr>
            <w:r>
              <w:rPr>
                <w:rFonts w:cs="Arial"/>
                <w:b/>
                <w:bCs/>
                <w:sz w:val="20"/>
              </w:rPr>
              <w:t>RECEITA OPERACIONAL LÍQUIDA</w:t>
            </w:r>
          </w:p>
        </w:tc>
        <w:tc>
          <w:tcPr>
            <w:tcW w:w="1559" w:type="dxa"/>
          </w:tcPr>
          <w:p>
            <w:pPr>
              <w:pBdr>
                <w:top w:val="single" w:sz="4" w:space="1" w:color="000000"/>
                <w:bottom w:val="double" w:sz="1" w:space="1" w:color="000000"/>
              </w:pBdr>
              <w:tabs>
                <w:tab w:val="center" w:pos="725"/>
                <w:tab w:val="right" w:pos="1451"/>
              </w:tabs>
              <w:autoSpaceDE w:val="0"/>
              <w:snapToGrid w:val="0"/>
              <w:rPr>
                <w:rFonts w:cs="Arial"/>
                <w:b/>
                <w:szCs w:val="22"/>
              </w:rPr>
            </w:pPr>
            <w:r>
              <w:rPr>
                <w:rFonts w:cs="Arial"/>
                <w:b/>
                <w:szCs w:val="22"/>
              </w:rPr>
              <w:tab/>
            </w:r>
            <w:r>
              <w:rPr>
                <w:rFonts w:cs="Arial"/>
                <w:b/>
                <w:szCs w:val="22"/>
              </w:rPr>
              <w:tab/>
              <w:t>27.954</w:t>
            </w:r>
          </w:p>
        </w:tc>
        <w:tc>
          <w:tcPr>
            <w:tcW w:w="1559" w:type="dxa"/>
          </w:tcPr>
          <w:p>
            <w:pPr>
              <w:pBdr>
                <w:top w:val="single" w:sz="4" w:space="1" w:color="000000"/>
                <w:bottom w:val="double" w:sz="1" w:space="1" w:color="000000"/>
              </w:pBdr>
              <w:tabs>
                <w:tab w:val="center" w:pos="725"/>
                <w:tab w:val="right" w:pos="1451"/>
              </w:tabs>
              <w:autoSpaceDE w:val="0"/>
              <w:snapToGrid w:val="0"/>
              <w:rPr>
                <w:rFonts w:cs="Arial"/>
                <w:b/>
                <w:szCs w:val="22"/>
              </w:rPr>
            </w:pPr>
            <w:r>
              <w:rPr>
                <w:rFonts w:cs="Arial"/>
                <w:b/>
                <w:szCs w:val="22"/>
              </w:rPr>
              <w:tab/>
            </w:r>
            <w:r>
              <w:rPr>
                <w:rFonts w:cs="Arial"/>
                <w:b/>
                <w:szCs w:val="22"/>
              </w:rPr>
              <w:tab/>
              <w:t>23.841</w:t>
            </w:r>
          </w:p>
        </w:tc>
      </w:tr>
    </w:tbl>
    <w:p>
      <w:pPr>
        <w:rPr>
          <w:rFonts w:cs="Arial"/>
          <w:b/>
          <w:bCs/>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autoSpaceDE w:val="0"/>
              <w:snapToGrid w:val="0"/>
              <w:rPr>
                <w:rFonts w:cs="Arial"/>
                <w:b/>
                <w:bCs/>
                <w:szCs w:val="22"/>
              </w:rPr>
            </w:pPr>
          </w:p>
        </w:tc>
        <w:tc>
          <w:tcPr>
            <w:tcW w:w="1559" w:type="dxa"/>
          </w:tcPr>
          <w:p>
            <w:pPr>
              <w:pBdr>
                <w:bottom w:val="single" w:sz="4" w:space="1" w:color="000000"/>
              </w:pBdr>
              <w:autoSpaceDE w:val="0"/>
              <w:snapToGrid w:val="0"/>
              <w:jc w:val="right"/>
              <w:rPr>
                <w:rFonts w:cs="Arial"/>
                <w:b/>
                <w:bCs/>
                <w:szCs w:val="22"/>
              </w:rPr>
            </w:pPr>
            <w:r>
              <w:rPr>
                <w:rFonts w:cs="Arial"/>
                <w:b/>
                <w:bCs/>
                <w:szCs w:val="22"/>
              </w:rPr>
              <w:t>31.03.2020</w:t>
            </w:r>
          </w:p>
        </w:tc>
        <w:tc>
          <w:tcPr>
            <w:tcW w:w="1559" w:type="dxa"/>
          </w:tcPr>
          <w:p>
            <w:pPr>
              <w:pBdr>
                <w:bottom w:val="single" w:sz="4" w:space="1" w:color="000000"/>
              </w:pBdr>
              <w:autoSpaceDE w:val="0"/>
              <w:snapToGrid w:val="0"/>
              <w:jc w:val="right"/>
              <w:rPr>
                <w:rFonts w:cs="Arial"/>
                <w:b/>
                <w:bCs/>
                <w:szCs w:val="22"/>
              </w:rPr>
            </w:pPr>
            <w:r>
              <w:rPr>
                <w:rFonts w:cs="Arial"/>
                <w:b/>
                <w:bCs/>
                <w:szCs w:val="22"/>
              </w:rPr>
              <w:t>31.03.2019</w:t>
            </w:r>
          </w:p>
        </w:tc>
      </w:tr>
      <w:tr>
        <w:trPr>
          <w:trHeight w:val="240"/>
        </w:trPr>
        <w:tc>
          <w:tcPr>
            <w:tcW w:w="6575" w:type="dxa"/>
          </w:tcPr>
          <w:p>
            <w:pPr>
              <w:rPr>
                <w:rFonts w:cs="Arial"/>
                <w:szCs w:val="22"/>
              </w:rPr>
            </w:pPr>
            <w:r>
              <w:rPr>
                <w:rFonts w:cs="Arial"/>
                <w:szCs w:val="22"/>
              </w:rPr>
              <w:t>Permissão Remunerada de Uso</w:t>
            </w:r>
          </w:p>
        </w:tc>
        <w:tc>
          <w:tcPr>
            <w:tcW w:w="1559" w:type="dxa"/>
          </w:tcPr>
          <w:p>
            <w:pPr>
              <w:tabs>
                <w:tab w:val="center" w:pos="725"/>
                <w:tab w:val="right" w:pos="1451"/>
              </w:tabs>
              <w:autoSpaceDE w:val="0"/>
              <w:snapToGrid w:val="0"/>
              <w:jc w:val="right"/>
              <w:rPr>
                <w:rFonts w:cs="Arial"/>
                <w:szCs w:val="22"/>
              </w:rPr>
            </w:pPr>
            <w:r>
              <w:rPr>
                <w:rFonts w:cs="Arial"/>
                <w:szCs w:val="22"/>
              </w:rPr>
              <w:t>17.502</w:t>
            </w:r>
          </w:p>
        </w:tc>
        <w:tc>
          <w:tcPr>
            <w:tcW w:w="1559" w:type="dxa"/>
          </w:tcPr>
          <w:p>
            <w:pPr>
              <w:autoSpaceDE w:val="0"/>
              <w:snapToGrid w:val="0"/>
              <w:jc w:val="right"/>
              <w:rPr>
                <w:rFonts w:cs="Arial"/>
                <w:szCs w:val="22"/>
              </w:rPr>
            </w:pPr>
            <w:r>
              <w:rPr>
                <w:rFonts w:cs="Arial"/>
                <w:szCs w:val="22"/>
              </w:rPr>
              <w:t>15.755</w:t>
            </w:r>
          </w:p>
        </w:tc>
      </w:tr>
      <w:tr>
        <w:trPr>
          <w:trHeight w:val="240"/>
        </w:trPr>
        <w:tc>
          <w:tcPr>
            <w:tcW w:w="6575" w:type="dxa"/>
          </w:tcPr>
          <w:p>
            <w:pPr>
              <w:rPr>
                <w:rFonts w:cs="Arial"/>
                <w:szCs w:val="22"/>
              </w:rPr>
            </w:pPr>
            <w:r>
              <w:rPr>
                <w:rFonts w:cs="Arial"/>
                <w:szCs w:val="22"/>
              </w:rPr>
              <w:t>Serviços Prestados na Armazenagem</w:t>
            </w:r>
          </w:p>
        </w:tc>
        <w:tc>
          <w:tcPr>
            <w:tcW w:w="1559" w:type="dxa"/>
          </w:tcPr>
          <w:p>
            <w:pPr>
              <w:autoSpaceDE w:val="0"/>
              <w:snapToGrid w:val="0"/>
              <w:jc w:val="right"/>
              <w:rPr>
                <w:rFonts w:cs="Arial"/>
                <w:szCs w:val="22"/>
              </w:rPr>
            </w:pPr>
            <w:r>
              <w:rPr>
                <w:rFonts w:cs="Arial"/>
                <w:szCs w:val="22"/>
              </w:rPr>
              <w:t>10.866</w:t>
            </w:r>
          </w:p>
        </w:tc>
        <w:tc>
          <w:tcPr>
            <w:tcW w:w="1559" w:type="dxa"/>
          </w:tcPr>
          <w:p>
            <w:pPr>
              <w:tabs>
                <w:tab w:val="left" w:pos="1273"/>
              </w:tabs>
              <w:autoSpaceDE w:val="0"/>
              <w:snapToGrid w:val="0"/>
              <w:jc w:val="right"/>
              <w:rPr>
                <w:rFonts w:cs="Arial"/>
                <w:szCs w:val="22"/>
              </w:rPr>
            </w:pPr>
            <w:r>
              <w:rPr>
                <w:rFonts w:cs="Arial"/>
                <w:szCs w:val="22"/>
              </w:rPr>
              <w:t>8.876</w:t>
            </w:r>
          </w:p>
        </w:tc>
      </w:tr>
      <w:tr>
        <w:trPr>
          <w:trHeight w:val="240"/>
        </w:trPr>
        <w:tc>
          <w:tcPr>
            <w:tcW w:w="6575" w:type="dxa"/>
          </w:tcPr>
          <w:p>
            <w:pPr>
              <w:rPr>
                <w:rFonts w:cs="Arial"/>
                <w:szCs w:val="22"/>
              </w:rPr>
            </w:pPr>
            <w:r>
              <w:rPr>
                <w:rFonts w:cs="Arial"/>
                <w:szCs w:val="22"/>
              </w:rPr>
              <w:t>Autorização de Uso</w:t>
            </w:r>
          </w:p>
        </w:tc>
        <w:tc>
          <w:tcPr>
            <w:tcW w:w="1559" w:type="dxa"/>
          </w:tcPr>
          <w:p>
            <w:pPr>
              <w:autoSpaceDE w:val="0"/>
              <w:snapToGrid w:val="0"/>
              <w:jc w:val="right"/>
              <w:rPr>
                <w:rFonts w:cs="Arial"/>
                <w:szCs w:val="22"/>
              </w:rPr>
            </w:pPr>
            <w:r>
              <w:rPr>
                <w:rFonts w:cs="Arial"/>
                <w:szCs w:val="22"/>
              </w:rPr>
              <w:t>2.530</w:t>
            </w:r>
          </w:p>
        </w:tc>
        <w:tc>
          <w:tcPr>
            <w:tcW w:w="1559" w:type="dxa"/>
          </w:tcPr>
          <w:p>
            <w:pPr>
              <w:tabs>
                <w:tab w:val="center" w:pos="725"/>
                <w:tab w:val="right" w:pos="1451"/>
              </w:tabs>
              <w:autoSpaceDE w:val="0"/>
              <w:snapToGrid w:val="0"/>
              <w:rPr>
                <w:rFonts w:cs="Arial"/>
                <w:szCs w:val="22"/>
              </w:rPr>
            </w:pPr>
            <w:r>
              <w:rPr>
                <w:rFonts w:cs="Arial"/>
                <w:szCs w:val="22"/>
              </w:rPr>
              <w:tab/>
            </w:r>
            <w:r>
              <w:rPr>
                <w:rFonts w:cs="Arial"/>
                <w:szCs w:val="22"/>
              </w:rPr>
              <w:tab/>
              <w:t>2.117</w:t>
            </w:r>
          </w:p>
        </w:tc>
      </w:tr>
      <w:tr>
        <w:trPr>
          <w:trHeight w:val="240"/>
        </w:trPr>
        <w:tc>
          <w:tcPr>
            <w:tcW w:w="6575" w:type="dxa"/>
          </w:tcPr>
          <w:p>
            <w:pPr>
              <w:rPr>
                <w:rFonts w:cs="Arial"/>
                <w:szCs w:val="22"/>
              </w:rPr>
            </w:pPr>
            <w:r>
              <w:rPr>
                <w:rFonts w:cs="Arial"/>
                <w:szCs w:val="22"/>
              </w:rPr>
              <w:t>Concessão Remunerada de Uso</w:t>
            </w:r>
          </w:p>
        </w:tc>
        <w:tc>
          <w:tcPr>
            <w:tcW w:w="1559" w:type="dxa"/>
          </w:tcPr>
          <w:p>
            <w:pPr>
              <w:autoSpaceDE w:val="0"/>
              <w:snapToGrid w:val="0"/>
              <w:jc w:val="right"/>
              <w:rPr>
                <w:rFonts w:cs="Arial"/>
                <w:szCs w:val="22"/>
              </w:rPr>
            </w:pPr>
            <w:r>
              <w:rPr>
                <w:rFonts w:cs="Arial"/>
                <w:szCs w:val="22"/>
              </w:rPr>
              <w:t>1.150</w:t>
            </w:r>
          </w:p>
        </w:tc>
        <w:tc>
          <w:tcPr>
            <w:tcW w:w="1559" w:type="dxa"/>
          </w:tcPr>
          <w:p>
            <w:pPr>
              <w:autoSpaceDE w:val="0"/>
              <w:snapToGrid w:val="0"/>
              <w:jc w:val="right"/>
              <w:rPr>
                <w:rFonts w:cs="Arial"/>
                <w:szCs w:val="22"/>
              </w:rPr>
            </w:pPr>
            <w:r>
              <w:rPr>
                <w:rFonts w:cs="Arial"/>
                <w:szCs w:val="22"/>
              </w:rPr>
              <w:t>589</w:t>
            </w:r>
          </w:p>
        </w:tc>
      </w:tr>
      <w:tr>
        <w:trPr>
          <w:trHeight w:val="240"/>
        </w:trPr>
        <w:tc>
          <w:tcPr>
            <w:tcW w:w="6575" w:type="dxa"/>
          </w:tcPr>
          <w:p>
            <w:pPr>
              <w:rPr>
                <w:rFonts w:cs="Arial"/>
                <w:szCs w:val="22"/>
              </w:rPr>
            </w:pPr>
            <w:r>
              <w:rPr>
                <w:rFonts w:cs="Arial"/>
                <w:szCs w:val="22"/>
              </w:rPr>
              <w:t>Receitas Diversas</w:t>
            </w:r>
          </w:p>
        </w:tc>
        <w:tc>
          <w:tcPr>
            <w:tcW w:w="1559" w:type="dxa"/>
          </w:tcPr>
          <w:p>
            <w:pPr>
              <w:tabs>
                <w:tab w:val="center" w:pos="725"/>
                <w:tab w:val="right" w:pos="1451"/>
              </w:tabs>
              <w:autoSpaceDE w:val="0"/>
              <w:snapToGrid w:val="0"/>
              <w:jc w:val="right"/>
              <w:rPr>
                <w:rFonts w:cs="Arial"/>
                <w:szCs w:val="22"/>
              </w:rPr>
            </w:pPr>
            <w:r>
              <w:rPr>
                <w:rFonts w:cs="Arial"/>
                <w:szCs w:val="22"/>
              </w:rPr>
              <w:t>948</w:t>
            </w:r>
          </w:p>
        </w:tc>
        <w:tc>
          <w:tcPr>
            <w:tcW w:w="1559" w:type="dxa"/>
          </w:tcPr>
          <w:p>
            <w:pPr>
              <w:autoSpaceDE w:val="0"/>
              <w:snapToGrid w:val="0"/>
              <w:jc w:val="right"/>
              <w:rPr>
                <w:rFonts w:cs="Arial"/>
                <w:szCs w:val="22"/>
              </w:rPr>
            </w:pPr>
            <w:r>
              <w:rPr>
                <w:rFonts w:cs="Arial"/>
                <w:szCs w:val="22"/>
              </w:rPr>
              <w:t>814</w:t>
            </w:r>
          </w:p>
        </w:tc>
      </w:tr>
      <w:tr>
        <w:trPr>
          <w:trHeight w:val="240"/>
        </w:trPr>
        <w:tc>
          <w:tcPr>
            <w:tcW w:w="6575" w:type="dxa"/>
          </w:tcPr>
          <w:p>
            <w:pPr>
              <w:rPr>
                <w:rFonts w:cs="Arial"/>
                <w:szCs w:val="22"/>
              </w:rPr>
            </w:pPr>
            <w:r>
              <w:rPr>
                <w:rFonts w:cs="Arial"/>
                <w:szCs w:val="22"/>
              </w:rPr>
              <w:t>Reaparelhamento – Obras</w:t>
            </w:r>
          </w:p>
        </w:tc>
        <w:tc>
          <w:tcPr>
            <w:tcW w:w="1559" w:type="dxa"/>
          </w:tcPr>
          <w:p>
            <w:pPr>
              <w:autoSpaceDE w:val="0"/>
              <w:snapToGrid w:val="0"/>
              <w:jc w:val="right"/>
              <w:rPr>
                <w:rFonts w:cs="Arial"/>
                <w:szCs w:val="22"/>
              </w:rPr>
            </w:pPr>
            <w:r>
              <w:rPr>
                <w:rFonts w:cs="Arial"/>
                <w:szCs w:val="22"/>
              </w:rPr>
              <w:t>297</w:t>
            </w:r>
          </w:p>
        </w:tc>
        <w:tc>
          <w:tcPr>
            <w:tcW w:w="1559" w:type="dxa"/>
          </w:tcPr>
          <w:p>
            <w:pPr>
              <w:autoSpaceDE w:val="0"/>
              <w:snapToGrid w:val="0"/>
              <w:jc w:val="right"/>
              <w:rPr>
                <w:rFonts w:cs="Arial"/>
                <w:szCs w:val="22"/>
              </w:rPr>
            </w:pPr>
            <w:r>
              <w:rPr>
                <w:rFonts w:cs="Arial"/>
                <w:szCs w:val="22"/>
              </w:rPr>
              <w:t>298</w:t>
            </w:r>
          </w:p>
        </w:tc>
      </w:tr>
      <w:tr>
        <w:trPr>
          <w:trHeight w:val="240"/>
        </w:trPr>
        <w:tc>
          <w:tcPr>
            <w:tcW w:w="6575" w:type="dxa"/>
          </w:tcPr>
          <w:p>
            <w:pPr>
              <w:rPr>
                <w:rFonts w:cs="Arial"/>
                <w:szCs w:val="22"/>
              </w:rPr>
            </w:pPr>
            <w:r>
              <w:rPr>
                <w:rFonts w:cs="Arial"/>
                <w:szCs w:val="22"/>
              </w:rPr>
              <w:t>Venda de Produtos</w:t>
            </w:r>
          </w:p>
        </w:tc>
        <w:tc>
          <w:tcPr>
            <w:tcW w:w="1559" w:type="dxa"/>
          </w:tcPr>
          <w:p>
            <w:pPr>
              <w:tabs>
                <w:tab w:val="left" w:pos="1273"/>
              </w:tabs>
              <w:autoSpaceDE w:val="0"/>
              <w:snapToGrid w:val="0"/>
              <w:jc w:val="right"/>
              <w:rPr>
                <w:rFonts w:cs="Arial"/>
                <w:szCs w:val="22"/>
              </w:rPr>
            </w:pPr>
            <w:r>
              <w:rPr>
                <w:rFonts w:cs="Arial"/>
                <w:szCs w:val="22"/>
              </w:rPr>
              <w:t>144</w:t>
            </w:r>
          </w:p>
        </w:tc>
        <w:tc>
          <w:tcPr>
            <w:tcW w:w="1559" w:type="dxa"/>
          </w:tcPr>
          <w:p>
            <w:pPr>
              <w:tabs>
                <w:tab w:val="center" w:pos="725"/>
                <w:tab w:val="right" w:pos="1451"/>
              </w:tabs>
              <w:autoSpaceDE w:val="0"/>
              <w:snapToGrid w:val="0"/>
              <w:rPr>
                <w:rFonts w:cs="Arial"/>
                <w:szCs w:val="22"/>
              </w:rPr>
            </w:pPr>
            <w:r>
              <w:rPr>
                <w:rFonts w:cs="Arial"/>
                <w:szCs w:val="22"/>
              </w:rPr>
              <w:tab/>
            </w:r>
            <w:r>
              <w:rPr>
                <w:rFonts w:cs="Arial"/>
                <w:szCs w:val="22"/>
              </w:rPr>
              <w:tab/>
              <w:t>15</w:t>
            </w:r>
          </w:p>
        </w:tc>
      </w:tr>
      <w:tr>
        <w:trPr>
          <w:trHeight w:val="240"/>
        </w:trPr>
        <w:tc>
          <w:tcPr>
            <w:tcW w:w="6575" w:type="dxa"/>
          </w:tcPr>
          <w:p>
            <w:pPr>
              <w:rPr>
                <w:rFonts w:cs="Arial"/>
                <w:szCs w:val="22"/>
              </w:rPr>
            </w:pPr>
            <w:r>
              <w:rPr>
                <w:rFonts w:cs="Arial"/>
                <w:szCs w:val="22"/>
              </w:rPr>
              <w:t>Parcelamento</w:t>
            </w:r>
          </w:p>
        </w:tc>
        <w:tc>
          <w:tcPr>
            <w:tcW w:w="1559" w:type="dxa"/>
          </w:tcPr>
          <w:p>
            <w:pPr>
              <w:autoSpaceDE w:val="0"/>
              <w:snapToGrid w:val="0"/>
              <w:jc w:val="right"/>
              <w:rPr>
                <w:rFonts w:cs="Arial"/>
                <w:szCs w:val="22"/>
              </w:rPr>
            </w:pPr>
            <w:r>
              <w:rPr>
                <w:rFonts w:cs="Arial"/>
                <w:szCs w:val="22"/>
              </w:rPr>
              <w:t>69</w:t>
            </w:r>
          </w:p>
        </w:tc>
        <w:tc>
          <w:tcPr>
            <w:tcW w:w="1559" w:type="dxa"/>
          </w:tcPr>
          <w:p>
            <w:pPr>
              <w:autoSpaceDE w:val="0"/>
              <w:snapToGrid w:val="0"/>
              <w:jc w:val="right"/>
              <w:rPr>
                <w:rFonts w:cs="Arial"/>
                <w:szCs w:val="22"/>
              </w:rPr>
            </w:pPr>
            <w:r>
              <w:rPr>
                <w:rFonts w:cs="Arial"/>
                <w:szCs w:val="22"/>
              </w:rPr>
              <w:t>69</w:t>
            </w:r>
          </w:p>
        </w:tc>
      </w:tr>
      <w:tr>
        <w:tc>
          <w:tcPr>
            <w:tcW w:w="6575" w:type="dxa"/>
          </w:tcPr>
          <w:p>
            <w:pPr>
              <w:rPr>
                <w:rFonts w:cs="Arial"/>
                <w:b/>
                <w:bCs/>
                <w:sz w:val="20"/>
              </w:rPr>
            </w:pPr>
          </w:p>
          <w:p>
            <w:pPr>
              <w:rPr>
                <w:rFonts w:cs="Arial"/>
                <w:b/>
                <w:bCs/>
                <w:sz w:val="20"/>
              </w:rPr>
            </w:pP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33.506</w:t>
            </w: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28.533</w:t>
            </w:r>
          </w:p>
        </w:tc>
      </w:tr>
    </w:tbl>
    <w:p>
      <w:pPr>
        <w:ind w:firstLine="426"/>
        <w:rPr>
          <w:rFonts w:cs="Arial"/>
          <w:bCs/>
        </w:rPr>
      </w:pPr>
      <w:r>
        <w:rPr>
          <w:rFonts w:cs="Arial"/>
          <w:bCs/>
        </w:rPr>
        <w:lastRenderedPageBreak/>
        <w:t xml:space="preserve">As receitas operacionais são provenientes da prestação de serviços na rede armazenadora e na </w:t>
      </w:r>
      <w:proofErr w:type="spellStart"/>
      <w:r>
        <w:rPr>
          <w:rFonts w:cs="Arial"/>
          <w:bCs/>
        </w:rPr>
        <w:t>entrepostagem</w:t>
      </w:r>
      <w:proofErr w:type="spellEnd"/>
      <w:r>
        <w:rPr>
          <w:rFonts w:cs="Arial"/>
          <w:bCs/>
        </w:rPr>
        <w:t>.</w:t>
      </w:r>
    </w:p>
    <w:p>
      <w:pPr>
        <w:rPr>
          <w:rFonts w:cs="Arial"/>
          <w:bCs/>
        </w:rPr>
      </w:pPr>
    </w:p>
    <w:p>
      <w:pPr>
        <w:pStyle w:val="Ttulo3"/>
        <w:rPr>
          <w:rStyle w:val="Ttulo3Char"/>
          <w:b/>
        </w:rPr>
      </w:pPr>
      <w:bookmarkStart w:id="155" w:name="_Toc41376156"/>
      <w:r>
        <w:rPr>
          <w:rStyle w:val="Ttulo3Char"/>
          <w:b/>
        </w:rPr>
        <w:t>24.1.1. Permissão e Concessão Remunerada de Uso</w:t>
      </w:r>
      <w:bookmarkEnd w:id="155"/>
    </w:p>
    <w:p>
      <w:pPr>
        <w:ind w:firstLine="426"/>
        <w:rPr>
          <w:rFonts w:cs="Arial"/>
          <w:bCs/>
        </w:rPr>
      </w:pPr>
      <w:r>
        <w:rPr>
          <w:rFonts w:cs="Arial"/>
        </w:rPr>
        <w:t>Corresponde à cessão de áreas e</w:t>
      </w:r>
      <w:r>
        <w:rPr>
          <w:rFonts w:cs="Arial"/>
          <w:bCs/>
        </w:rPr>
        <w:t xml:space="preserve"> instalações que possibilitam o desenvolvimento de atividades típicas de </w:t>
      </w:r>
      <w:proofErr w:type="spellStart"/>
      <w:r>
        <w:rPr>
          <w:rFonts w:cs="Arial"/>
          <w:bCs/>
        </w:rPr>
        <w:t>entrepostagem</w:t>
      </w:r>
      <w:proofErr w:type="spellEnd"/>
      <w:r>
        <w:rPr>
          <w:rFonts w:cs="Arial"/>
          <w:bCs/>
        </w:rPr>
        <w:t xml:space="preserve"> e atípicas precedidas de licitação. Houve aumento de Permissão de Uso de R$ 1,747 milhão, dos quais R$ 972 mil na rede armazenadora e R$ 532 mil na rede de entrepostos do interior. Na conta de Concessão Remunerada de Uso o aumento registrado foi de R$ 561 mil</w:t>
      </w:r>
    </w:p>
    <w:p>
      <w:pPr>
        <w:rPr>
          <w:rFonts w:cs="Arial"/>
          <w:bCs/>
        </w:rPr>
      </w:pPr>
    </w:p>
    <w:p>
      <w:pPr>
        <w:pStyle w:val="Ttulo3"/>
        <w:rPr>
          <w:rStyle w:val="Ttulo3Char"/>
          <w:b/>
        </w:rPr>
      </w:pPr>
      <w:bookmarkStart w:id="156" w:name="_Toc41376157"/>
      <w:r>
        <w:rPr>
          <w:rStyle w:val="Ttulo3Char"/>
          <w:b/>
        </w:rPr>
        <w:t>24.1.2. Serviços Prestados na Armazenagem</w:t>
      </w:r>
      <w:bookmarkEnd w:id="156"/>
    </w:p>
    <w:p>
      <w:pPr>
        <w:ind w:firstLine="426"/>
        <w:rPr>
          <w:rFonts w:cs="Arial"/>
          <w:bCs/>
        </w:rPr>
      </w:pPr>
      <w:r>
        <w:rPr>
          <w:rFonts w:cs="Arial"/>
          <w:bCs/>
        </w:rPr>
        <w:t xml:space="preserve">Os serviços prestados são: armazenagem, limpeza, secagem, expurgo, classificação vegetal, recepção e embarque e serviços complementares. Houve em relação ao primeiro trimestre de 2019, aumento na prestação de serviços no valor de R$ 1,990 milhão, principalmente em estocagem de trigo, soja e açúcar. Outros produtos estocados nas Unidades armazenadoras são: algodão, milho, sorgo e outros. </w:t>
      </w:r>
    </w:p>
    <w:p>
      <w:pPr>
        <w:rPr>
          <w:rFonts w:cs="Arial"/>
          <w:bCs/>
        </w:rPr>
      </w:pPr>
    </w:p>
    <w:p>
      <w:pPr>
        <w:pStyle w:val="Ttulo3"/>
        <w:rPr>
          <w:rStyle w:val="Ttulo3Char"/>
          <w:b/>
        </w:rPr>
      </w:pPr>
      <w:bookmarkStart w:id="157" w:name="_Toc41376158"/>
      <w:r>
        <w:rPr>
          <w:rStyle w:val="Ttulo3Char"/>
          <w:b/>
        </w:rPr>
        <w:t>24.1.3. Autorização de Uso</w:t>
      </w:r>
      <w:bookmarkEnd w:id="157"/>
    </w:p>
    <w:p>
      <w:pPr>
        <w:ind w:firstLine="426"/>
        <w:rPr>
          <w:rFonts w:cs="Arial"/>
          <w:bCs/>
        </w:rPr>
      </w:pPr>
      <w:r>
        <w:rPr>
          <w:rFonts w:cs="Arial"/>
          <w:bCs/>
        </w:rPr>
        <w:t>Receita proveniente da disponibilização para uso provisório de áreas vagas dos entrepostos a concessionários, permissionários, produtores rurais e pessoas físicas com a finalidade de comercialização, desenvolvimento de atividades típicas ou atípicas. A variação em relação ao primeiro trimestre de 2019 foi de R$ 413 mil decorrente principalmente de ocupação de áreas vagas no ETSP que registrou aumento de R$ 274 mil, enquanto que nos entrepostos do interior o crescimento foi de R$ 139 mil.</w:t>
      </w:r>
    </w:p>
    <w:p>
      <w:pPr>
        <w:rPr>
          <w:rFonts w:cs="Arial"/>
          <w:bCs/>
        </w:rPr>
      </w:pPr>
    </w:p>
    <w:p>
      <w:pPr>
        <w:pStyle w:val="Ttulo3"/>
        <w:rPr>
          <w:rStyle w:val="Ttulo3Char"/>
          <w:b/>
        </w:rPr>
      </w:pPr>
      <w:bookmarkStart w:id="158" w:name="_Toc41376159"/>
      <w:r>
        <w:rPr>
          <w:rStyle w:val="Ttulo3Char"/>
          <w:b/>
        </w:rPr>
        <w:t>24.1.4. Receitas Diversas</w:t>
      </w:r>
      <w:bookmarkEnd w:id="158"/>
    </w:p>
    <w:p>
      <w:pPr>
        <w:ind w:firstLine="426"/>
        <w:rPr>
          <w:rFonts w:cs="Arial"/>
          <w:bCs/>
        </w:rPr>
      </w:pPr>
      <w:r>
        <w:rPr>
          <w:rFonts w:cs="Arial"/>
          <w:bCs/>
        </w:rPr>
        <w:t>Correspondem às taxas de emissão de crachá</w:t>
      </w:r>
      <w:r>
        <w:rPr>
          <w:rFonts w:cs="Arial"/>
          <w:b/>
          <w:bCs/>
        </w:rPr>
        <w:t>,</w:t>
      </w:r>
      <w:r>
        <w:rPr>
          <w:rFonts w:cs="Arial"/>
          <w:bCs/>
        </w:rPr>
        <w:t xml:space="preserve"> cadastro, liberação de carrinho, retorno de atividade, pedido de transferência, autorizações de uso, atribuição, pedido de alteração cadastral, autorizações de débito, autorizações provisórias, diárias, multas operacionais e pesagem avulsa, mensalistas do estacionamento. O aumento registrado foi de R$ 134 mil em relação ao primeiro trimestre de 2019 relacionado às taxas de alteração cadastral.</w:t>
      </w:r>
    </w:p>
    <w:p>
      <w:pPr>
        <w:rPr>
          <w:rFonts w:cs="Arial"/>
          <w:bCs/>
        </w:rPr>
      </w:pPr>
    </w:p>
    <w:p>
      <w:pPr>
        <w:pStyle w:val="Ttulo3"/>
        <w:rPr>
          <w:rStyle w:val="Ttulo3Char"/>
          <w:b/>
        </w:rPr>
      </w:pPr>
      <w:bookmarkStart w:id="159" w:name="_Toc41376160"/>
      <w:r>
        <w:rPr>
          <w:rStyle w:val="Ttulo3Char"/>
          <w:b/>
        </w:rPr>
        <w:t>24.1.5. Venda de Produtos</w:t>
      </w:r>
      <w:bookmarkEnd w:id="159"/>
    </w:p>
    <w:p>
      <w:pPr>
        <w:ind w:firstLine="426"/>
        <w:rPr>
          <w:rFonts w:cs="Arial"/>
          <w:bCs/>
        </w:rPr>
      </w:pPr>
      <w:r>
        <w:rPr>
          <w:rFonts w:cs="Arial"/>
          <w:bCs/>
        </w:rPr>
        <w:t>Consiste na venda de resíduos e varreduras de produtos armazenados. Houve aumento de R$129 mil em relação ao primeiro trimestre de 2019.</w:t>
      </w:r>
    </w:p>
    <w:p>
      <w:pPr>
        <w:rPr>
          <w:rFonts w:cs="Arial"/>
          <w:bCs/>
        </w:rPr>
      </w:pPr>
    </w:p>
    <w:p>
      <w:pPr>
        <w:pStyle w:val="Ttulo2"/>
        <w:rPr>
          <w:bCs/>
        </w:rPr>
      </w:pPr>
      <w:bookmarkStart w:id="160" w:name="_24.2._Custo_dos_1"/>
      <w:bookmarkStart w:id="161" w:name="_Toc41376161"/>
      <w:bookmarkEnd w:id="160"/>
      <w:r>
        <w:rPr>
          <w:bCs/>
        </w:rPr>
        <w:t>24.2</w:t>
      </w:r>
      <w:r>
        <w:t>. Custos dos Serviços Prestados e Produtos Vendidos</w:t>
      </w:r>
      <w:bookmarkEnd w:id="161"/>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pStyle w:val="Ttulo2"/>
              <w:ind w:left="-54"/>
            </w:pPr>
            <w:bookmarkStart w:id="162" w:name="_24.2._Custo_dos"/>
            <w:bookmarkEnd w:id="162"/>
          </w:p>
          <w:p>
            <w:pPr>
              <w:pStyle w:val="Ttulo4"/>
              <w:rPr>
                <w:bCs/>
                <w:szCs w:val="22"/>
              </w:rPr>
            </w:pPr>
          </w:p>
        </w:tc>
        <w:tc>
          <w:tcPr>
            <w:tcW w:w="1559" w:type="dxa"/>
          </w:tcPr>
          <w:p>
            <w:pPr>
              <w:pBdr>
                <w:bottom w:val="single" w:sz="4" w:space="1" w:color="000000"/>
              </w:pBdr>
              <w:autoSpaceDE w:val="0"/>
              <w:snapToGrid w:val="0"/>
              <w:jc w:val="right"/>
              <w:rPr>
                <w:rFonts w:cs="Arial"/>
                <w:b/>
                <w:bCs/>
                <w:szCs w:val="22"/>
              </w:rPr>
            </w:pPr>
            <w:r>
              <w:rPr>
                <w:rFonts w:cs="Arial"/>
                <w:b/>
                <w:bCs/>
                <w:szCs w:val="22"/>
              </w:rPr>
              <w:t>31.03.2020</w:t>
            </w:r>
          </w:p>
        </w:tc>
        <w:tc>
          <w:tcPr>
            <w:tcW w:w="1559" w:type="dxa"/>
          </w:tcPr>
          <w:p>
            <w:pPr>
              <w:pBdr>
                <w:bottom w:val="single" w:sz="4" w:space="1" w:color="000000"/>
              </w:pBdr>
              <w:autoSpaceDE w:val="0"/>
              <w:snapToGrid w:val="0"/>
              <w:jc w:val="right"/>
              <w:rPr>
                <w:rFonts w:cs="Arial"/>
                <w:b/>
                <w:bCs/>
                <w:szCs w:val="22"/>
              </w:rPr>
            </w:pPr>
            <w:r>
              <w:rPr>
                <w:rFonts w:cs="Arial"/>
                <w:b/>
                <w:bCs/>
                <w:szCs w:val="22"/>
              </w:rPr>
              <w:t>31.03.2019</w:t>
            </w:r>
          </w:p>
        </w:tc>
      </w:tr>
      <w:tr>
        <w:trPr>
          <w:trHeight w:val="240"/>
        </w:trPr>
        <w:tc>
          <w:tcPr>
            <w:tcW w:w="6575" w:type="dxa"/>
          </w:tcPr>
          <w:p>
            <w:pPr>
              <w:rPr>
                <w:rFonts w:cs="Arial"/>
                <w:szCs w:val="22"/>
              </w:rPr>
            </w:pPr>
            <w:r>
              <w:rPr>
                <w:rFonts w:cs="Arial"/>
                <w:szCs w:val="22"/>
              </w:rPr>
              <w:t>Pessoal e Honorários</w:t>
            </w:r>
          </w:p>
        </w:tc>
        <w:tc>
          <w:tcPr>
            <w:tcW w:w="1559" w:type="dxa"/>
          </w:tcPr>
          <w:p>
            <w:pPr>
              <w:tabs>
                <w:tab w:val="left" w:pos="1273"/>
              </w:tabs>
              <w:autoSpaceDE w:val="0"/>
              <w:snapToGrid w:val="0"/>
              <w:jc w:val="right"/>
              <w:rPr>
                <w:rFonts w:cs="Arial"/>
                <w:szCs w:val="22"/>
              </w:rPr>
            </w:pPr>
            <w:r>
              <w:rPr>
                <w:rFonts w:cs="Arial"/>
                <w:szCs w:val="22"/>
              </w:rPr>
              <w:t>(5.135)</w:t>
            </w:r>
          </w:p>
        </w:tc>
        <w:tc>
          <w:tcPr>
            <w:tcW w:w="1559" w:type="dxa"/>
          </w:tcPr>
          <w:p>
            <w:pPr>
              <w:tabs>
                <w:tab w:val="left" w:pos="1273"/>
              </w:tabs>
              <w:autoSpaceDE w:val="0"/>
              <w:snapToGrid w:val="0"/>
              <w:jc w:val="right"/>
              <w:rPr>
                <w:rFonts w:cs="Arial"/>
                <w:szCs w:val="22"/>
              </w:rPr>
            </w:pPr>
            <w:r>
              <w:rPr>
                <w:rFonts w:cs="Arial"/>
                <w:szCs w:val="22"/>
              </w:rPr>
              <w:t>(7.465)</w:t>
            </w:r>
          </w:p>
        </w:tc>
      </w:tr>
      <w:tr>
        <w:trPr>
          <w:trHeight w:val="240"/>
        </w:trPr>
        <w:tc>
          <w:tcPr>
            <w:tcW w:w="6575" w:type="dxa"/>
          </w:tcPr>
          <w:p>
            <w:pPr>
              <w:rPr>
                <w:rFonts w:cs="Arial"/>
                <w:szCs w:val="22"/>
              </w:rPr>
            </w:pPr>
            <w:r>
              <w:rPr>
                <w:rFonts w:cs="Arial"/>
                <w:szCs w:val="22"/>
              </w:rPr>
              <w:t>Serviços de Terceiros</w:t>
            </w:r>
          </w:p>
        </w:tc>
        <w:tc>
          <w:tcPr>
            <w:tcW w:w="1559" w:type="dxa"/>
          </w:tcPr>
          <w:p>
            <w:pPr>
              <w:autoSpaceDE w:val="0"/>
              <w:snapToGrid w:val="0"/>
              <w:jc w:val="right"/>
              <w:rPr>
                <w:rFonts w:cs="Arial"/>
                <w:szCs w:val="22"/>
              </w:rPr>
            </w:pPr>
            <w:r>
              <w:rPr>
                <w:rFonts w:cs="Arial"/>
                <w:szCs w:val="22"/>
              </w:rPr>
              <w:t>(5.006)</w:t>
            </w:r>
          </w:p>
        </w:tc>
        <w:tc>
          <w:tcPr>
            <w:tcW w:w="1559" w:type="dxa"/>
          </w:tcPr>
          <w:p>
            <w:pPr>
              <w:autoSpaceDE w:val="0"/>
              <w:snapToGrid w:val="0"/>
              <w:jc w:val="right"/>
              <w:rPr>
                <w:rFonts w:cs="Arial"/>
                <w:szCs w:val="22"/>
              </w:rPr>
            </w:pPr>
            <w:r>
              <w:rPr>
                <w:rFonts w:cs="Arial"/>
                <w:szCs w:val="22"/>
              </w:rPr>
              <w:t>(2.699)</w:t>
            </w:r>
          </w:p>
        </w:tc>
      </w:tr>
      <w:tr>
        <w:trPr>
          <w:trHeight w:val="240"/>
        </w:trPr>
        <w:tc>
          <w:tcPr>
            <w:tcW w:w="6575" w:type="dxa"/>
          </w:tcPr>
          <w:p>
            <w:pPr>
              <w:rPr>
                <w:rFonts w:cs="Arial"/>
                <w:szCs w:val="22"/>
              </w:rPr>
            </w:pPr>
            <w:r>
              <w:rPr>
                <w:rFonts w:cs="Arial"/>
                <w:szCs w:val="22"/>
              </w:rPr>
              <w:t>Depreciações e Amortizações</w:t>
            </w:r>
          </w:p>
        </w:tc>
        <w:tc>
          <w:tcPr>
            <w:tcW w:w="1559" w:type="dxa"/>
          </w:tcPr>
          <w:p>
            <w:pPr>
              <w:autoSpaceDE w:val="0"/>
              <w:snapToGrid w:val="0"/>
              <w:jc w:val="right"/>
              <w:rPr>
                <w:rFonts w:cs="Arial"/>
                <w:szCs w:val="22"/>
              </w:rPr>
            </w:pPr>
            <w:r>
              <w:rPr>
                <w:rFonts w:cs="Arial"/>
                <w:szCs w:val="22"/>
              </w:rPr>
              <w:t>(1.707)</w:t>
            </w:r>
          </w:p>
        </w:tc>
        <w:tc>
          <w:tcPr>
            <w:tcW w:w="1559" w:type="dxa"/>
          </w:tcPr>
          <w:p>
            <w:pPr>
              <w:autoSpaceDE w:val="0"/>
              <w:snapToGrid w:val="0"/>
              <w:jc w:val="right"/>
              <w:rPr>
                <w:rFonts w:cs="Arial"/>
                <w:szCs w:val="22"/>
              </w:rPr>
            </w:pPr>
            <w:r>
              <w:rPr>
                <w:rFonts w:cs="Arial"/>
                <w:szCs w:val="22"/>
              </w:rPr>
              <w:t>(1.483)</w:t>
            </w:r>
          </w:p>
        </w:tc>
      </w:tr>
      <w:tr>
        <w:trPr>
          <w:trHeight w:val="240"/>
        </w:trPr>
        <w:tc>
          <w:tcPr>
            <w:tcW w:w="6575" w:type="dxa"/>
          </w:tcPr>
          <w:p>
            <w:pPr>
              <w:rPr>
                <w:rFonts w:cs="Arial"/>
                <w:szCs w:val="22"/>
              </w:rPr>
            </w:pPr>
            <w:r>
              <w:rPr>
                <w:rFonts w:cs="Arial"/>
                <w:szCs w:val="22"/>
              </w:rPr>
              <w:t>Utilidades e Serviços</w:t>
            </w:r>
          </w:p>
        </w:tc>
        <w:tc>
          <w:tcPr>
            <w:tcW w:w="1559" w:type="dxa"/>
          </w:tcPr>
          <w:p>
            <w:pPr>
              <w:autoSpaceDE w:val="0"/>
              <w:snapToGrid w:val="0"/>
              <w:jc w:val="right"/>
              <w:rPr>
                <w:rFonts w:cs="Arial"/>
                <w:szCs w:val="22"/>
              </w:rPr>
            </w:pPr>
            <w:r>
              <w:rPr>
                <w:rFonts w:cs="Arial"/>
                <w:szCs w:val="22"/>
              </w:rPr>
              <w:t>(485)</w:t>
            </w:r>
          </w:p>
        </w:tc>
        <w:tc>
          <w:tcPr>
            <w:tcW w:w="1559" w:type="dxa"/>
          </w:tcPr>
          <w:p>
            <w:pPr>
              <w:autoSpaceDE w:val="0"/>
              <w:snapToGrid w:val="0"/>
              <w:jc w:val="right"/>
              <w:rPr>
                <w:rFonts w:cs="Arial"/>
                <w:szCs w:val="22"/>
              </w:rPr>
            </w:pPr>
            <w:r>
              <w:rPr>
                <w:rFonts w:cs="Arial"/>
                <w:szCs w:val="22"/>
              </w:rPr>
              <w:t>(603)</w:t>
            </w:r>
          </w:p>
        </w:tc>
      </w:tr>
      <w:tr>
        <w:trPr>
          <w:trHeight w:val="240"/>
        </w:trPr>
        <w:tc>
          <w:tcPr>
            <w:tcW w:w="6575" w:type="dxa"/>
          </w:tcPr>
          <w:p>
            <w:pPr>
              <w:rPr>
                <w:rFonts w:cs="Arial"/>
                <w:szCs w:val="22"/>
              </w:rPr>
            </w:pPr>
            <w:r>
              <w:rPr>
                <w:rFonts w:cs="Arial"/>
                <w:szCs w:val="22"/>
              </w:rPr>
              <w:t>Materiais de Consumo</w:t>
            </w:r>
          </w:p>
        </w:tc>
        <w:tc>
          <w:tcPr>
            <w:tcW w:w="1559" w:type="dxa"/>
          </w:tcPr>
          <w:p>
            <w:pPr>
              <w:autoSpaceDE w:val="0"/>
              <w:snapToGrid w:val="0"/>
              <w:jc w:val="right"/>
              <w:rPr>
                <w:rFonts w:cs="Arial"/>
                <w:szCs w:val="22"/>
              </w:rPr>
            </w:pPr>
            <w:r>
              <w:rPr>
                <w:rFonts w:cs="Arial"/>
                <w:szCs w:val="22"/>
              </w:rPr>
              <w:t>(457)</w:t>
            </w:r>
          </w:p>
        </w:tc>
        <w:tc>
          <w:tcPr>
            <w:tcW w:w="1559" w:type="dxa"/>
          </w:tcPr>
          <w:p>
            <w:pPr>
              <w:autoSpaceDE w:val="0"/>
              <w:snapToGrid w:val="0"/>
              <w:jc w:val="right"/>
              <w:rPr>
                <w:rFonts w:cs="Arial"/>
                <w:szCs w:val="22"/>
              </w:rPr>
            </w:pPr>
            <w:r>
              <w:rPr>
                <w:rFonts w:cs="Arial"/>
                <w:szCs w:val="22"/>
              </w:rPr>
              <w:t>(951)</w:t>
            </w:r>
          </w:p>
        </w:tc>
      </w:tr>
      <w:tr>
        <w:trPr>
          <w:trHeight w:val="240"/>
        </w:trPr>
        <w:tc>
          <w:tcPr>
            <w:tcW w:w="6575" w:type="dxa"/>
          </w:tcPr>
          <w:p>
            <w:pPr>
              <w:rPr>
                <w:rFonts w:cs="Arial"/>
                <w:szCs w:val="22"/>
              </w:rPr>
            </w:pPr>
            <w:r>
              <w:rPr>
                <w:rFonts w:cs="Arial"/>
                <w:szCs w:val="22"/>
              </w:rPr>
              <w:t>Manutenção e Reparos</w:t>
            </w:r>
          </w:p>
        </w:tc>
        <w:tc>
          <w:tcPr>
            <w:tcW w:w="1559" w:type="dxa"/>
          </w:tcPr>
          <w:p>
            <w:pPr>
              <w:autoSpaceDE w:val="0"/>
              <w:snapToGrid w:val="0"/>
              <w:jc w:val="right"/>
              <w:rPr>
                <w:rFonts w:cs="Arial"/>
                <w:szCs w:val="22"/>
              </w:rPr>
            </w:pPr>
            <w:r>
              <w:rPr>
                <w:rFonts w:cs="Arial"/>
                <w:szCs w:val="22"/>
              </w:rPr>
              <w:t>(98)</w:t>
            </w:r>
          </w:p>
        </w:tc>
        <w:tc>
          <w:tcPr>
            <w:tcW w:w="1559" w:type="dxa"/>
          </w:tcPr>
          <w:p>
            <w:pPr>
              <w:autoSpaceDE w:val="0"/>
              <w:snapToGrid w:val="0"/>
              <w:jc w:val="right"/>
              <w:rPr>
                <w:rFonts w:cs="Arial"/>
                <w:szCs w:val="22"/>
              </w:rPr>
            </w:pPr>
            <w:r>
              <w:rPr>
                <w:rFonts w:cs="Arial"/>
                <w:szCs w:val="22"/>
              </w:rPr>
              <w:t>(521)</w:t>
            </w:r>
          </w:p>
        </w:tc>
      </w:tr>
      <w:tr>
        <w:trPr>
          <w:trHeight w:val="240"/>
        </w:trPr>
        <w:tc>
          <w:tcPr>
            <w:tcW w:w="6575" w:type="dxa"/>
          </w:tcPr>
          <w:p>
            <w:pPr>
              <w:rPr>
                <w:rFonts w:cs="Arial"/>
                <w:szCs w:val="22"/>
              </w:rPr>
            </w:pPr>
            <w:r>
              <w:rPr>
                <w:rFonts w:cs="Arial"/>
                <w:szCs w:val="22"/>
              </w:rPr>
              <w:t>Gastos Diversos</w:t>
            </w:r>
          </w:p>
        </w:tc>
        <w:tc>
          <w:tcPr>
            <w:tcW w:w="1559" w:type="dxa"/>
          </w:tcPr>
          <w:p>
            <w:pPr>
              <w:tabs>
                <w:tab w:val="center" w:pos="725"/>
                <w:tab w:val="right" w:pos="1451"/>
              </w:tabs>
              <w:autoSpaceDE w:val="0"/>
              <w:snapToGrid w:val="0"/>
              <w:jc w:val="right"/>
              <w:rPr>
                <w:rFonts w:cs="Arial"/>
                <w:szCs w:val="22"/>
              </w:rPr>
            </w:pPr>
            <w:r>
              <w:rPr>
                <w:rFonts w:cs="Arial"/>
                <w:szCs w:val="22"/>
              </w:rPr>
              <w:t>145</w:t>
            </w:r>
          </w:p>
        </w:tc>
        <w:tc>
          <w:tcPr>
            <w:tcW w:w="1559" w:type="dxa"/>
          </w:tcPr>
          <w:p>
            <w:pPr>
              <w:tabs>
                <w:tab w:val="center" w:pos="725"/>
                <w:tab w:val="right" w:pos="1451"/>
              </w:tabs>
              <w:autoSpaceDE w:val="0"/>
              <w:snapToGrid w:val="0"/>
              <w:jc w:val="right"/>
              <w:rPr>
                <w:rFonts w:cs="Arial"/>
                <w:szCs w:val="22"/>
              </w:rPr>
            </w:pPr>
            <w:r>
              <w:rPr>
                <w:rFonts w:cs="Arial"/>
                <w:szCs w:val="22"/>
              </w:rPr>
              <w:t>(1.944)</w:t>
            </w:r>
          </w:p>
        </w:tc>
      </w:tr>
      <w:tr>
        <w:tc>
          <w:tcPr>
            <w:tcW w:w="6575" w:type="dxa"/>
          </w:tcPr>
          <w:p>
            <w:pPr>
              <w:rPr>
                <w:rFonts w:cs="Arial"/>
                <w:b/>
                <w:bCs/>
                <w:szCs w:val="22"/>
              </w:rPr>
            </w:pP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(12.743)</w:t>
            </w: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(15.666)</w:t>
            </w:r>
          </w:p>
        </w:tc>
      </w:tr>
    </w:tbl>
    <w:p>
      <w:pPr>
        <w:pStyle w:val="Ttulo3"/>
        <w:rPr>
          <w:rStyle w:val="Ttulo3Char"/>
          <w:b/>
        </w:rPr>
      </w:pPr>
      <w:bookmarkStart w:id="163" w:name="_24.2.1_–_Pessoal"/>
      <w:bookmarkStart w:id="164" w:name="_24.2.1._Pessoal_e"/>
      <w:bookmarkEnd w:id="163"/>
      <w:bookmarkEnd w:id="164"/>
    </w:p>
    <w:p>
      <w:pPr>
        <w:pStyle w:val="Ttulo3"/>
        <w:rPr>
          <w:rStyle w:val="Ttulo3Char"/>
          <w:b/>
        </w:rPr>
      </w:pPr>
    </w:p>
    <w:p>
      <w:pPr>
        <w:pStyle w:val="Ttulo3"/>
        <w:rPr>
          <w:rStyle w:val="Ttulo3Char"/>
          <w:b/>
        </w:rPr>
      </w:pPr>
      <w:bookmarkStart w:id="165" w:name="_24.2.1._Custos_com"/>
      <w:bookmarkStart w:id="166" w:name="_Toc41376162"/>
      <w:bookmarkEnd w:id="165"/>
      <w:r>
        <w:rPr>
          <w:rStyle w:val="Ttulo3Char"/>
          <w:b/>
        </w:rPr>
        <w:t>24.2.1. Custos com Pessoal e Honorários</w:t>
      </w:r>
      <w:bookmarkEnd w:id="166"/>
    </w:p>
    <w:p>
      <w:pPr>
        <w:ind w:firstLine="426"/>
      </w:pPr>
      <w:r>
        <w:t xml:space="preserve">Contemplam os honorários, remunerações, encargos sociais, benefícios, outros encargos com pessoal e a conta de recuperação de custos com pessoal. A redução nesta nomenclatura foi de R$2,330 milhões e percentualmente 31,21% em relação ao primeiro trimestre de 2019: a) as remunerações aumentaram R$ 679 mil, cerca de 8%, influenciado pelo reajuste de 4,77% do dissídio coletivo 2019 – 2020, a partir de 01/06/2019; b) os encargos sociais reduziram R$ 387 mil, ou 10%, levando em consideração as rescisões ocorridas em 2019 que alavancaram os valores de FGTS; c) em custos com outros encargos, o aviso prévio reduziu R$ 69 mil, aproximadamente 68%; d) a recuperação de custos com pessoal, conta redutora, registra o rateio dos custos aos clientes da rede de </w:t>
      </w:r>
      <w:proofErr w:type="spellStart"/>
      <w:r>
        <w:t>entrepostagem</w:t>
      </w:r>
      <w:proofErr w:type="spellEnd"/>
      <w:r>
        <w:t>, variou positivamente em R$ 2,507 milhões, ou 27%.</w:t>
      </w:r>
    </w:p>
    <w:p>
      <w:pPr>
        <w:rPr>
          <w:rFonts w:cs="Arial"/>
        </w:rPr>
      </w:pPr>
    </w:p>
    <w:p>
      <w:pPr>
        <w:pStyle w:val="Ttulo3"/>
        <w:rPr>
          <w:rStyle w:val="Ttulo3Char"/>
          <w:b/>
        </w:rPr>
      </w:pPr>
      <w:bookmarkStart w:id="167" w:name="_24.2.2._Gastos_Diversos"/>
      <w:bookmarkStart w:id="168" w:name="_24.2.2._Custos_com"/>
      <w:bookmarkStart w:id="169" w:name="_Toc41376163"/>
      <w:bookmarkEnd w:id="167"/>
      <w:bookmarkEnd w:id="168"/>
      <w:r>
        <w:rPr>
          <w:rStyle w:val="Ttulo3Char"/>
          <w:b/>
        </w:rPr>
        <w:t>24.2.2. Custos com Serviços de Terceiros</w:t>
      </w:r>
      <w:bookmarkEnd w:id="169"/>
    </w:p>
    <w:p>
      <w:pPr>
        <w:ind w:firstLine="426"/>
        <w:rPr>
          <w:rFonts w:cs="Arial"/>
        </w:rPr>
      </w:pPr>
      <w:r>
        <w:rPr>
          <w:rFonts w:cs="Arial"/>
        </w:rPr>
        <w:t>Contemplam serviços de vigilância e segurança, limpeza, portaria, estágio, mão de obra aplicada nas Unidades armazenadoras, coleta seletiva de lixo, dentre outros, que sofreram aumento de R$ 2,307 milhões, cerca de 86% de variação em relação ao primeiro trimestre de 2019. A principal variação é decorrente das medidas pós enchente, que ocorreu no dia 10 de fevereiro de 2020 no município de São Paulo. Foram disponibilizados no ETSP equipes de limpeza para lavação e caminhões de coleta para recolhimento de dejetos e esvaziamento de caçambas, com a finalidade de retirar das vias todo lixo acumulado e mercadorias impróprias para consumo.</w:t>
      </w:r>
    </w:p>
    <w:p>
      <w:pPr>
        <w:pStyle w:val="Ttulo3"/>
        <w:rPr>
          <w:rStyle w:val="Ttulo3Char"/>
          <w:b/>
        </w:rPr>
      </w:pPr>
    </w:p>
    <w:p>
      <w:pPr>
        <w:pStyle w:val="Ttulo3"/>
        <w:rPr>
          <w:rStyle w:val="Ttulo3Char"/>
          <w:b/>
        </w:rPr>
      </w:pPr>
      <w:bookmarkStart w:id="170" w:name="_Toc41376164"/>
      <w:r>
        <w:rPr>
          <w:rStyle w:val="Ttulo3Char"/>
          <w:b/>
        </w:rPr>
        <w:t>24.2.3. Custos com Utilidades e Serviços</w:t>
      </w:r>
      <w:bookmarkEnd w:id="170"/>
    </w:p>
    <w:p>
      <w:pPr>
        <w:ind w:firstLine="426"/>
        <w:rPr>
          <w:rFonts w:cs="Arial"/>
        </w:rPr>
      </w:pPr>
      <w:r>
        <w:rPr>
          <w:rFonts w:cs="Arial"/>
        </w:rPr>
        <w:t>São registrados os custos com seguros de bens próprios, de riscos diversos, de mercadorias, custo com telefone, fretes, condução, malotes, dentre outros. A redução total foi de R$ 118 mil, aproximadamente 20%, registrada no custo com seguros de bens próprios.</w:t>
      </w:r>
    </w:p>
    <w:p/>
    <w:p>
      <w:pPr>
        <w:pStyle w:val="Ttulo3"/>
        <w:rPr>
          <w:rStyle w:val="Ttulo3Char"/>
          <w:b/>
        </w:rPr>
      </w:pPr>
      <w:bookmarkStart w:id="171" w:name="_Toc41376165"/>
      <w:r>
        <w:rPr>
          <w:rStyle w:val="Ttulo3Char"/>
          <w:b/>
        </w:rPr>
        <w:t>24.2.4. Custos com Materiais de Consumo</w:t>
      </w:r>
      <w:bookmarkEnd w:id="171"/>
    </w:p>
    <w:p>
      <w:pPr>
        <w:ind w:firstLine="426"/>
      </w:pPr>
      <w:r>
        <w:t>Correspondem aos materiais aplicados direta e indiretamente na prestação de serviços da Ceagesp. Houve redução em relação ao primeiro trimestre de 2019, no valor de R$ 494 mil, ou 52%. O custo com energia elétrica aumentou R$ 288 mil e com água e esgoto R$ 564 mil. Em contrapartida, foi registrado aumento na recuperação desses custos, respectivamente de R$ 826 mil e R$ 494 mil.</w:t>
      </w:r>
    </w:p>
    <w:p/>
    <w:p>
      <w:pPr>
        <w:pStyle w:val="Ttulo3"/>
        <w:rPr>
          <w:rStyle w:val="Ttulo3Char"/>
          <w:b/>
        </w:rPr>
      </w:pPr>
      <w:bookmarkStart w:id="172" w:name="_Toc41376166"/>
      <w:r>
        <w:rPr>
          <w:rStyle w:val="Ttulo3Char"/>
          <w:b/>
        </w:rPr>
        <w:t>24.2.5. Custos com Manutenção e Reparos</w:t>
      </w:r>
      <w:bookmarkEnd w:id="172"/>
    </w:p>
    <w:p>
      <w:pPr>
        <w:ind w:firstLine="426"/>
        <w:rPr>
          <w:rFonts w:cs="Arial"/>
        </w:rPr>
      </w:pPr>
      <w:r>
        <w:rPr>
          <w:rFonts w:cs="Arial"/>
        </w:rPr>
        <w:t xml:space="preserve">Foi registrado um decréscimo de 81% ou R$ 423 mil, no comparativo entre os exercícios, principalmente em manutenções civis. </w:t>
      </w:r>
    </w:p>
    <w:p>
      <w:pPr>
        <w:rPr>
          <w:rFonts w:cs="Arial"/>
        </w:rPr>
      </w:pPr>
    </w:p>
    <w:p>
      <w:pPr>
        <w:pStyle w:val="Ttulo3"/>
        <w:rPr>
          <w:rStyle w:val="Ttulo3Char"/>
          <w:b/>
        </w:rPr>
      </w:pPr>
      <w:bookmarkStart w:id="173" w:name="_24.2.6._Custos_Diversos"/>
      <w:bookmarkStart w:id="174" w:name="_Toc41376167"/>
      <w:bookmarkEnd w:id="173"/>
      <w:r>
        <w:rPr>
          <w:rStyle w:val="Ttulo3Char"/>
          <w:b/>
        </w:rPr>
        <w:t>24.2.6. Gastos Diversos</w:t>
      </w:r>
      <w:bookmarkEnd w:id="174"/>
    </w:p>
    <w:p>
      <w:pPr>
        <w:ind w:firstLine="435"/>
      </w:pPr>
      <w:r>
        <w:t>Neste grupo são registrados os custos com tributos e taxas, IPTU, viagens, legais e judiciais, contribuições para associação de classe e outros custos gerais. Ocorreu diminuição de R$ 2,089 milhões e percentualmente 107%, apesar do IPTU ter aumentado R$ 687 mil, ou 13%. A redução se deve ao aumento considerável de recuperação de IPTU, de R$ 2,728 milhões e em pontos percentuais 77%.</w:t>
      </w:r>
    </w:p>
    <w:p>
      <w:pPr>
        <w:ind w:firstLine="435"/>
      </w:pPr>
    </w:p>
    <w:p>
      <w:pPr>
        <w:rPr>
          <w:rFonts w:cs="Arial"/>
        </w:rPr>
      </w:pPr>
    </w:p>
    <w:p>
      <w:pPr>
        <w:pStyle w:val="Ttulo2"/>
      </w:pPr>
      <w:bookmarkStart w:id="175" w:name="_24.3._Despesas_Gerais_1"/>
      <w:bookmarkStart w:id="176" w:name="_Toc41376168"/>
      <w:bookmarkEnd w:id="175"/>
      <w:r>
        <w:lastRenderedPageBreak/>
        <w:t>24.3. Despesas Gerais e Administrativas</w:t>
      </w:r>
      <w:bookmarkEnd w:id="176"/>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pStyle w:val="Ttulo2"/>
              <w:ind w:left="0"/>
            </w:pPr>
            <w:bookmarkStart w:id="177" w:name="_24.3._Despesas_Gerais"/>
            <w:bookmarkEnd w:id="177"/>
          </w:p>
          <w:p>
            <w:pPr>
              <w:pStyle w:val="Ttulo4"/>
              <w:rPr>
                <w:bCs/>
                <w:szCs w:val="22"/>
              </w:rPr>
            </w:pPr>
          </w:p>
        </w:tc>
        <w:tc>
          <w:tcPr>
            <w:tcW w:w="1559" w:type="dxa"/>
          </w:tcPr>
          <w:p>
            <w:pPr>
              <w:pBdr>
                <w:bottom w:val="single" w:sz="4" w:space="1" w:color="000000"/>
              </w:pBdr>
              <w:autoSpaceDE w:val="0"/>
              <w:snapToGrid w:val="0"/>
              <w:jc w:val="right"/>
              <w:rPr>
                <w:rFonts w:cs="Arial"/>
                <w:b/>
                <w:bCs/>
                <w:szCs w:val="22"/>
              </w:rPr>
            </w:pPr>
            <w:r>
              <w:rPr>
                <w:rFonts w:cs="Arial"/>
                <w:b/>
                <w:bCs/>
                <w:szCs w:val="22"/>
              </w:rPr>
              <w:t>31.03.2020</w:t>
            </w:r>
          </w:p>
        </w:tc>
        <w:tc>
          <w:tcPr>
            <w:tcW w:w="1559" w:type="dxa"/>
          </w:tcPr>
          <w:p>
            <w:pPr>
              <w:pBdr>
                <w:bottom w:val="single" w:sz="4" w:space="1" w:color="000000"/>
              </w:pBdr>
              <w:autoSpaceDE w:val="0"/>
              <w:snapToGrid w:val="0"/>
              <w:jc w:val="right"/>
              <w:rPr>
                <w:rFonts w:cs="Arial"/>
                <w:b/>
                <w:bCs/>
                <w:szCs w:val="22"/>
              </w:rPr>
            </w:pPr>
            <w:r>
              <w:rPr>
                <w:rFonts w:cs="Arial"/>
                <w:b/>
                <w:bCs/>
                <w:szCs w:val="22"/>
              </w:rPr>
              <w:t>31.03.2019</w:t>
            </w:r>
          </w:p>
        </w:tc>
      </w:tr>
      <w:tr>
        <w:trPr>
          <w:trHeight w:val="240"/>
        </w:trPr>
        <w:tc>
          <w:tcPr>
            <w:tcW w:w="6575" w:type="dxa"/>
          </w:tcPr>
          <w:p>
            <w:pPr>
              <w:rPr>
                <w:rFonts w:cs="Arial"/>
                <w:szCs w:val="22"/>
              </w:rPr>
            </w:pPr>
            <w:r>
              <w:rPr>
                <w:rFonts w:cs="Arial"/>
                <w:szCs w:val="22"/>
              </w:rPr>
              <w:t>Pessoal e Encargos</w:t>
            </w:r>
          </w:p>
        </w:tc>
        <w:tc>
          <w:tcPr>
            <w:tcW w:w="1559" w:type="dxa"/>
          </w:tcPr>
          <w:p>
            <w:pPr>
              <w:tabs>
                <w:tab w:val="left" w:pos="1273"/>
              </w:tabs>
              <w:autoSpaceDE w:val="0"/>
              <w:snapToGrid w:val="0"/>
              <w:jc w:val="right"/>
              <w:rPr>
                <w:rFonts w:cs="Arial"/>
                <w:szCs w:val="22"/>
              </w:rPr>
            </w:pPr>
            <w:r>
              <w:rPr>
                <w:rFonts w:cs="Arial"/>
                <w:szCs w:val="22"/>
              </w:rPr>
              <w:t>(8.916)</w:t>
            </w:r>
          </w:p>
        </w:tc>
        <w:tc>
          <w:tcPr>
            <w:tcW w:w="1559" w:type="dxa"/>
          </w:tcPr>
          <w:p>
            <w:pPr>
              <w:tabs>
                <w:tab w:val="left" w:pos="1273"/>
              </w:tabs>
              <w:autoSpaceDE w:val="0"/>
              <w:snapToGrid w:val="0"/>
              <w:jc w:val="right"/>
              <w:rPr>
                <w:rFonts w:cs="Arial"/>
                <w:szCs w:val="22"/>
              </w:rPr>
            </w:pPr>
            <w:r>
              <w:rPr>
                <w:rFonts w:cs="Arial"/>
                <w:szCs w:val="22"/>
              </w:rPr>
              <w:t>(9.482)</w:t>
            </w:r>
          </w:p>
        </w:tc>
      </w:tr>
      <w:tr>
        <w:trPr>
          <w:trHeight w:val="240"/>
        </w:trPr>
        <w:tc>
          <w:tcPr>
            <w:tcW w:w="6575" w:type="dxa"/>
          </w:tcPr>
          <w:p>
            <w:pPr>
              <w:rPr>
                <w:rFonts w:cs="Arial"/>
                <w:szCs w:val="22"/>
              </w:rPr>
            </w:pPr>
            <w:r>
              <w:rPr>
                <w:rFonts w:cs="Arial"/>
                <w:szCs w:val="22"/>
              </w:rPr>
              <w:t>Provisões</w:t>
            </w:r>
          </w:p>
        </w:tc>
        <w:tc>
          <w:tcPr>
            <w:tcW w:w="1559" w:type="dxa"/>
          </w:tcPr>
          <w:p>
            <w:pPr>
              <w:tabs>
                <w:tab w:val="center" w:pos="725"/>
                <w:tab w:val="right" w:pos="1451"/>
              </w:tabs>
              <w:autoSpaceDE w:val="0"/>
              <w:snapToGrid w:val="0"/>
              <w:jc w:val="right"/>
              <w:rPr>
                <w:rFonts w:cs="Arial"/>
                <w:szCs w:val="22"/>
              </w:rPr>
            </w:pPr>
            <w:r>
              <w:rPr>
                <w:rFonts w:cs="Arial"/>
                <w:szCs w:val="22"/>
              </w:rPr>
              <w:t>(3.608)</w:t>
            </w:r>
          </w:p>
        </w:tc>
        <w:tc>
          <w:tcPr>
            <w:tcW w:w="1559" w:type="dxa"/>
          </w:tcPr>
          <w:p>
            <w:pPr>
              <w:tabs>
                <w:tab w:val="center" w:pos="725"/>
                <w:tab w:val="right" w:pos="1451"/>
              </w:tabs>
              <w:autoSpaceDE w:val="0"/>
              <w:snapToGrid w:val="0"/>
              <w:jc w:val="right"/>
              <w:rPr>
                <w:rFonts w:cs="Arial"/>
                <w:szCs w:val="22"/>
              </w:rPr>
            </w:pPr>
            <w:r>
              <w:rPr>
                <w:rFonts w:cs="Arial"/>
                <w:szCs w:val="22"/>
              </w:rPr>
              <w:t>(1.843)</w:t>
            </w:r>
          </w:p>
        </w:tc>
      </w:tr>
      <w:tr>
        <w:trPr>
          <w:trHeight w:val="240"/>
        </w:trPr>
        <w:tc>
          <w:tcPr>
            <w:tcW w:w="6575" w:type="dxa"/>
          </w:tcPr>
          <w:p>
            <w:pPr>
              <w:rPr>
                <w:rFonts w:cs="Arial"/>
                <w:szCs w:val="22"/>
              </w:rPr>
            </w:pPr>
            <w:r>
              <w:rPr>
                <w:rFonts w:cs="Arial"/>
                <w:szCs w:val="22"/>
              </w:rPr>
              <w:t>Serviços de Terceiros</w:t>
            </w:r>
          </w:p>
        </w:tc>
        <w:tc>
          <w:tcPr>
            <w:tcW w:w="1559" w:type="dxa"/>
          </w:tcPr>
          <w:p>
            <w:pPr>
              <w:autoSpaceDE w:val="0"/>
              <w:snapToGrid w:val="0"/>
              <w:jc w:val="right"/>
              <w:rPr>
                <w:rFonts w:cs="Arial"/>
                <w:szCs w:val="22"/>
              </w:rPr>
            </w:pPr>
            <w:r>
              <w:rPr>
                <w:rFonts w:cs="Arial"/>
                <w:szCs w:val="22"/>
              </w:rPr>
              <w:t>(1.242)</w:t>
            </w:r>
          </w:p>
        </w:tc>
        <w:tc>
          <w:tcPr>
            <w:tcW w:w="1559" w:type="dxa"/>
          </w:tcPr>
          <w:p>
            <w:pPr>
              <w:autoSpaceDE w:val="0"/>
              <w:snapToGrid w:val="0"/>
              <w:jc w:val="right"/>
              <w:rPr>
                <w:rFonts w:cs="Arial"/>
                <w:szCs w:val="22"/>
              </w:rPr>
            </w:pPr>
            <w:r>
              <w:rPr>
                <w:rFonts w:cs="Arial"/>
                <w:szCs w:val="22"/>
              </w:rPr>
              <w:t>(1.358)</w:t>
            </w:r>
          </w:p>
        </w:tc>
      </w:tr>
      <w:tr>
        <w:trPr>
          <w:trHeight w:val="240"/>
        </w:trPr>
        <w:tc>
          <w:tcPr>
            <w:tcW w:w="6575" w:type="dxa"/>
          </w:tcPr>
          <w:p>
            <w:pPr>
              <w:rPr>
                <w:rFonts w:cs="Arial"/>
                <w:szCs w:val="22"/>
              </w:rPr>
            </w:pPr>
            <w:r>
              <w:rPr>
                <w:rFonts w:cs="Arial"/>
                <w:szCs w:val="22"/>
              </w:rPr>
              <w:t>Despesas Gerais</w:t>
            </w:r>
          </w:p>
        </w:tc>
        <w:tc>
          <w:tcPr>
            <w:tcW w:w="1559" w:type="dxa"/>
          </w:tcPr>
          <w:p>
            <w:pPr>
              <w:tabs>
                <w:tab w:val="center" w:pos="725"/>
                <w:tab w:val="right" w:pos="1451"/>
              </w:tabs>
              <w:autoSpaceDE w:val="0"/>
              <w:snapToGrid w:val="0"/>
              <w:jc w:val="right"/>
              <w:rPr>
                <w:rFonts w:cs="Arial"/>
                <w:szCs w:val="22"/>
              </w:rPr>
            </w:pPr>
            <w:r>
              <w:rPr>
                <w:rFonts w:cs="Arial"/>
                <w:szCs w:val="22"/>
              </w:rPr>
              <w:t>(981)</w:t>
            </w:r>
          </w:p>
        </w:tc>
        <w:tc>
          <w:tcPr>
            <w:tcW w:w="1559" w:type="dxa"/>
          </w:tcPr>
          <w:p>
            <w:pPr>
              <w:tabs>
                <w:tab w:val="center" w:pos="725"/>
                <w:tab w:val="right" w:pos="1451"/>
              </w:tabs>
              <w:autoSpaceDE w:val="0"/>
              <w:snapToGrid w:val="0"/>
              <w:jc w:val="right"/>
              <w:rPr>
                <w:rFonts w:cs="Arial"/>
                <w:szCs w:val="22"/>
              </w:rPr>
            </w:pPr>
            <w:r>
              <w:rPr>
                <w:rFonts w:cs="Arial"/>
                <w:szCs w:val="22"/>
              </w:rPr>
              <w:t>(247)</w:t>
            </w:r>
          </w:p>
        </w:tc>
      </w:tr>
      <w:tr>
        <w:trPr>
          <w:trHeight w:val="240"/>
        </w:trPr>
        <w:tc>
          <w:tcPr>
            <w:tcW w:w="6575" w:type="dxa"/>
          </w:tcPr>
          <w:p>
            <w:pPr>
              <w:rPr>
                <w:rFonts w:cs="Arial"/>
                <w:szCs w:val="22"/>
              </w:rPr>
            </w:pPr>
            <w:r>
              <w:rPr>
                <w:rFonts w:cs="Arial"/>
                <w:szCs w:val="22"/>
              </w:rPr>
              <w:t>Materiais de Consumo</w:t>
            </w:r>
          </w:p>
        </w:tc>
        <w:tc>
          <w:tcPr>
            <w:tcW w:w="1559" w:type="dxa"/>
          </w:tcPr>
          <w:p>
            <w:pPr>
              <w:autoSpaceDE w:val="0"/>
              <w:snapToGrid w:val="0"/>
              <w:jc w:val="right"/>
              <w:rPr>
                <w:rFonts w:cs="Arial"/>
                <w:szCs w:val="22"/>
              </w:rPr>
            </w:pPr>
            <w:r>
              <w:rPr>
                <w:rFonts w:cs="Arial"/>
                <w:szCs w:val="22"/>
              </w:rPr>
              <w:t>(225)</w:t>
            </w:r>
          </w:p>
        </w:tc>
        <w:tc>
          <w:tcPr>
            <w:tcW w:w="1559" w:type="dxa"/>
          </w:tcPr>
          <w:p>
            <w:pPr>
              <w:autoSpaceDE w:val="0"/>
              <w:snapToGrid w:val="0"/>
              <w:jc w:val="right"/>
              <w:rPr>
                <w:rFonts w:cs="Arial"/>
                <w:szCs w:val="22"/>
              </w:rPr>
            </w:pPr>
            <w:r>
              <w:rPr>
                <w:rFonts w:cs="Arial"/>
                <w:szCs w:val="22"/>
              </w:rPr>
              <w:t>(272)</w:t>
            </w:r>
          </w:p>
        </w:tc>
      </w:tr>
      <w:tr>
        <w:trPr>
          <w:trHeight w:val="240"/>
        </w:trPr>
        <w:tc>
          <w:tcPr>
            <w:tcW w:w="6575" w:type="dxa"/>
          </w:tcPr>
          <w:p>
            <w:pPr>
              <w:rPr>
                <w:rFonts w:cs="Arial"/>
                <w:szCs w:val="22"/>
              </w:rPr>
            </w:pPr>
            <w:r>
              <w:rPr>
                <w:rFonts w:cs="Arial"/>
                <w:szCs w:val="22"/>
              </w:rPr>
              <w:t>Depreciações e Amortizações</w:t>
            </w:r>
          </w:p>
        </w:tc>
        <w:tc>
          <w:tcPr>
            <w:tcW w:w="1559" w:type="dxa"/>
          </w:tcPr>
          <w:p>
            <w:pPr>
              <w:autoSpaceDE w:val="0"/>
              <w:snapToGrid w:val="0"/>
              <w:jc w:val="right"/>
              <w:rPr>
                <w:rFonts w:cs="Arial"/>
                <w:szCs w:val="22"/>
              </w:rPr>
            </w:pPr>
            <w:r>
              <w:rPr>
                <w:rFonts w:cs="Arial"/>
                <w:szCs w:val="22"/>
              </w:rPr>
              <w:t>(150)</w:t>
            </w:r>
          </w:p>
        </w:tc>
        <w:tc>
          <w:tcPr>
            <w:tcW w:w="1559" w:type="dxa"/>
          </w:tcPr>
          <w:p>
            <w:pPr>
              <w:autoSpaceDE w:val="0"/>
              <w:snapToGrid w:val="0"/>
              <w:jc w:val="right"/>
              <w:rPr>
                <w:rFonts w:cs="Arial"/>
                <w:szCs w:val="22"/>
              </w:rPr>
            </w:pPr>
            <w:r>
              <w:rPr>
                <w:rFonts w:cs="Arial"/>
                <w:szCs w:val="22"/>
              </w:rPr>
              <w:t>(107)</w:t>
            </w:r>
          </w:p>
        </w:tc>
      </w:tr>
      <w:tr>
        <w:trPr>
          <w:trHeight w:val="240"/>
        </w:trPr>
        <w:tc>
          <w:tcPr>
            <w:tcW w:w="6575" w:type="dxa"/>
          </w:tcPr>
          <w:p>
            <w:pPr>
              <w:rPr>
                <w:rFonts w:cs="Arial"/>
                <w:szCs w:val="22"/>
              </w:rPr>
            </w:pPr>
            <w:r>
              <w:rPr>
                <w:rFonts w:cs="Arial"/>
                <w:szCs w:val="22"/>
              </w:rPr>
              <w:t>Manutenção e Reparos</w:t>
            </w:r>
          </w:p>
        </w:tc>
        <w:tc>
          <w:tcPr>
            <w:tcW w:w="1559" w:type="dxa"/>
          </w:tcPr>
          <w:p>
            <w:pPr>
              <w:autoSpaceDE w:val="0"/>
              <w:snapToGrid w:val="0"/>
              <w:jc w:val="right"/>
              <w:rPr>
                <w:rFonts w:cs="Arial"/>
                <w:szCs w:val="22"/>
              </w:rPr>
            </w:pPr>
            <w:r>
              <w:rPr>
                <w:rFonts w:cs="Arial"/>
                <w:szCs w:val="22"/>
              </w:rPr>
              <w:t>(80)</w:t>
            </w:r>
          </w:p>
        </w:tc>
        <w:tc>
          <w:tcPr>
            <w:tcW w:w="1559" w:type="dxa"/>
          </w:tcPr>
          <w:p>
            <w:pPr>
              <w:tabs>
                <w:tab w:val="left" w:pos="184"/>
                <w:tab w:val="right" w:pos="1451"/>
              </w:tabs>
              <w:autoSpaceDE w:val="0"/>
              <w:snapToGrid w:val="0"/>
              <w:jc w:val="left"/>
              <w:rPr>
                <w:rFonts w:cs="Arial"/>
                <w:szCs w:val="22"/>
              </w:rPr>
            </w:pPr>
            <w:r>
              <w:rPr>
                <w:rFonts w:cs="Arial"/>
                <w:szCs w:val="22"/>
              </w:rPr>
              <w:tab/>
            </w:r>
            <w:r>
              <w:rPr>
                <w:rFonts w:cs="Arial"/>
                <w:szCs w:val="22"/>
              </w:rPr>
              <w:tab/>
              <w:t>(28)</w:t>
            </w:r>
          </w:p>
        </w:tc>
      </w:tr>
      <w:tr>
        <w:trPr>
          <w:trHeight w:val="240"/>
        </w:trPr>
        <w:tc>
          <w:tcPr>
            <w:tcW w:w="6575" w:type="dxa"/>
          </w:tcPr>
          <w:p>
            <w:pPr>
              <w:rPr>
                <w:rFonts w:cs="Arial"/>
                <w:szCs w:val="22"/>
              </w:rPr>
            </w:pPr>
            <w:r>
              <w:rPr>
                <w:rFonts w:cs="Arial"/>
                <w:szCs w:val="22"/>
              </w:rPr>
              <w:t>Utilidades e Serviços</w:t>
            </w:r>
          </w:p>
        </w:tc>
        <w:tc>
          <w:tcPr>
            <w:tcW w:w="1559" w:type="dxa"/>
          </w:tcPr>
          <w:p>
            <w:pPr>
              <w:autoSpaceDE w:val="0"/>
              <w:snapToGrid w:val="0"/>
              <w:jc w:val="right"/>
              <w:rPr>
                <w:rFonts w:cs="Arial"/>
                <w:szCs w:val="22"/>
              </w:rPr>
            </w:pPr>
            <w:r>
              <w:rPr>
                <w:rFonts w:cs="Arial"/>
                <w:szCs w:val="22"/>
              </w:rPr>
              <w:t>(45)</w:t>
            </w:r>
          </w:p>
        </w:tc>
        <w:tc>
          <w:tcPr>
            <w:tcW w:w="1559" w:type="dxa"/>
          </w:tcPr>
          <w:p>
            <w:pPr>
              <w:autoSpaceDE w:val="0"/>
              <w:snapToGrid w:val="0"/>
              <w:jc w:val="right"/>
              <w:rPr>
                <w:rFonts w:cs="Arial"/>
                <w:szCs w:val="22"/>
              </w:rPr>
            </w:pPr>
            <w:r>
              <w:rPr>
                <w:rFonts w:cs="Arial"/>
                <w:szCs w:val="22"/>
              </w:rPr>
              <w:t>(154)</w:t>
            </w:r>
          </w:p>
        </w:tc>
      </w:tr>
      <w:tr>
        <w:tc>
          <w:tcPr>
            <w:tcW w:w="6575" w:type="dxa"/>
          </w:tcPr>
          <w:p>
            <w:pPr>
              <w:rPr>
                <w:rFonts w:cs="Arial"/>
                <w:b/>
                <w:bCs/>
                <w:szCs w:val="22"/>
              </w:rPr>
            </w:pP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(15.247)</w:t>
            </w: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(13.491)</w:t>
            </w:r>
          </w:p>
        </w:tc>
      </w:tr>
    </w:tbl>
    <w:p>
      <w:pPr>
        <w:rPr>
          <w:rFonts w:cs="Arial"/>
        </w:rPr>
      </w:pPr>
    </w:p>
    <w:p>
      <w:pPr>
        <w:pStyle w:val="Ttulo3"/>
        <w:rPr>
          <w:rStyle w:val="Ttulo3Char"/>
          <w:b/>
        </w:rPr>
      </w:pPr>
      <w:bookmarkStart w:id="178" w:name="_Toc41376169"/>
      <w:r>
        <w:rPr>
          <w:rStyle w:val="Ttulo3Char"/>
          <w:b/>
        </w:rPr>
        <w:t>24.3.1. Despesas com Pessoal e Encargos</w:t>
      </w:r>
      <w:bookmarkEnd w:id="178"/>
    </w:p>
    <w:p>
      <w:pPr>
        <w:ind w:firstLine="426"/>
      </w:pPr>
      <w:r>
        <w:t>Contemplam as contas de remunerações, encargos sociais, benefícios e outros encargos com pessoal. A redução nesta nomenclatura foi de R$ 566 mil e em pontos percentuais 6% em relação ao primeiro trimestre de 2019: a) os encargos sociais reduziram R$ 483 mil, ou 20%, tendo em vista as rescisões ocorridas em 2019 que alavancaram os valores de FGTS; b) em despesas com outros encargos, a redução total foi de R$ 120 mil, ou 94%, as indenizações trabalhistas reduziram R$ 63 mil, aproximadamente 98%, enquanto que as despesas com uniformes reduziram R$ 46 mil, ou 99%.</w:t>
      </w:r>
    </w:p>
    <w:p>
      <w:pPr>
        <w:pStyle w:val="Ttulo3"/>
        <w:rPr>
          <w:rStyle w:val="Ttulo3Char"/>
          <w:b/>
        </w:rPr>
      </w:pPr>
    </w:p>
    <w:p>
      <w:pPr>
        <w:pStyle w:val="Ttulo3"/>
        <w:rPr>
          <w:rStyle w:val="Ttulo3Char"/>
          <w:b/>
        </w:rPr>
      </w:pPr>
      <w:bookmarkStart w:id="179" w:name="_24.3.2._Despesas_com"/>
      <w:bookmarkStart w:id="180" w:name="_Toc41376170"/>
      <w:bookmarkEnd w:id="179"/>
      <w:r>
        <w:rPr>
          <w:rStyle w:val="Ttulo3Char"/>
          <w:b/>
        </w:rPr>
        <w:t>24.3.2. Despesas com Provisões</w:t>
      </w:r>
      <w:bookmarkEnd w:id="180"/>
    </w:p>
    <w:p>
      <w:pPr>
        <w:ind w:firstLine="426"/>
        <w:rPr>
          <w:rFonts w:cs="Arial"/>
        </w:rPr>
      </w:pPr>
      <w:r>
        <w:rPr>
          <w:rFonts w:cs="Arial"/>
        </w:rPr>
        <w:t>São registradas as provisões com PECLD, indenizações trabalhistas, riscos fiscais e riscos cíveis. Houve aumento de R$ 1,765 milhão em relação ao primeiro trimestre de 2019: a) PECLD – a conta de despesa de provisão aumentou R$ 8,110 milhões e a reversão reduziu R$ 5,273 milhões; b) a despesa com provisão para indenizações trabalhistas aumentou R$ 1,533 milhão; c) a despesa com provisões de riscos fiscais aumentou R$ 420 mil; d) a despesa com provisão para riscos cíveis aumentou em R$ 2,650 milhões.</w:t>
      </w:r>
    </w:p>
    <w:p>
      <w:pPr>
        <w:rPr>
          <w:rFonts w:cs="Arial"/>
        </w:rPr>
      </w:pPr>
    </w:p>
    <w:p>
      <w:pPr>
        <w:pStyle w:val="Ttulo3"/>
        <w:rPr>
          <w:rStyle w:val="Ttulo3Char"/>
          <w:b/>
        </w:rPr>
      </w:pPr>
      <w:bookmarkStart w:id="181" w:name="_Toc41376171"/>
      <w:r>
        <w:rPr>
          <w:rStyle w:val="Ttulo3Char"/>
          <w:b/>
        </w:rPr>
        <w:t>24.3.3. Despesas com Serviços de Terceiros</w:t>
      </w:r>
      <w:bookmarkEnd w:id="181"/>
    </w:p>
    <w:p>
      <w:pPr>
        <w:ind w:firstLine="426"/>
        <w:rPr>
          <w:rFonts w:cs="Arial"/>
          <w:szCs w:val="22"/>
        </w:rPr>
      </w:pPr>
      <w:r>
        <w:rPr>
          <w:rFonts w:cs="Arial"/>
        </w:rPr>
        <w:t>Neste grupo são registrados os serviços de limpeza, processamento de dados, locação de móveis e equipamentos, estágio e demais serviços de terceiros. Houve em relação a 2019, decréscimo de 9%, ou R$ 116 mil.</w:t>
      </w:r>
    </w:p>
    <w:p>
      <w:pPr>
        <w:rPr>
          <w:rFonts w:cs="Arial"/>
        </w:rPr>
      </w:pPr>
      <w:bookmarkStart w:id="182" w:name="_24.3.3._Provisões"/>
      <w:bookmarkEnd w:id="182"/>
    </w:p>
    <w:p>
      <w:pPr>
        <w:pStyle w:val="Ttulo3"/>
        <w:rPr>
          <w:rStyle w:val="Ttulo3Char"/>
          <w:b/>
        </w:rPr>
      </w:pPr>
      <w:bookmarkStart w:id="183" w:name="_Toc41376172"/>
      <w:r>
        <w:rPr>
          <w:rStyle w:val="Ttulo3Char"/>
          <w:b/>
        </w:rPr>
        <w:t>24.3.4. Despesas Gerais</w:t>
      </w:r>
      <w:bookmarkEnd w:id="183"/>
    </w:p>
    <w:p>
      <w:pPr>
        <w:ind w:firstLine="426"/>
        <w:rPr>
          <w:rFonts w:cs="Arial"/>
        </w:rPr>
      </w:pPr>
      <w:r>
        <w:rPr>
          <w:rFonts w:cs="Arial"/>
        </w:rPr>
        <w:t>Grupo onde são registradas as despesas com viagens, IPTU, taxas, contribuições de classe e outras. Houve elevação de R$ 734 mil e em pontos percentuais 297%: a) despesas legais e judiciais registrou aumento de R$ 120 mil, 34% a mais; b) a recuperação de despesas de processos trabalhistas e diversos reduziu R$ 559 mil ou 97%.</w:t>
      </w:r>
    </w:p>
    <w:p>
      <w:pPr>
        <w:rPr>
          <w:rFonts w:cs="Arial"/>
        </w:rPr>
      </w:pPr>
    </w:p>
    <w:p>
      <w:pPr>
        <w:pStyle w:val="Ttulo3"/>
        <w:rPr>
          <w:rStyle w:val="Ttulo3Char"/>
          <w:b/>
        </w:rPr>
      </w:pPr>
      <w:bookmarkStart w:id="184" w:name="_Toc41376173"/>
      <w:r>
        <w:rPr>
          <w:rStyle w:val="Ttulo3Char"/>
          <w:b/>
        </w:rPr>
        <w:t>24.3.5. Despesas com Materiais de Consumo</w:t>
      </w:r>
      <w:bookmarkEnd w:id="184"/>
    </w:p>
    <w:p>
      <w:pPr>
        <w:ind w:firstLine="426"/>
        <w:rPr>
          <w:rFonts w:cs="Arial"/>
        </w:rPr>
      </w:pPr>
      <w:r>
        <w:rPr>
          <w:rFonts w:cs="Arial"/>
        </w:rPr>
        <w:t>Contemplam as despesas com energia elétrica, água e esgoto, consumo, materiais de escritório, informática, combustíveis. A redução total foi de R$ 47 mil, principalmente em materiais de aplicação indireta.</w:t>
      </w:r>
    </w:p>
    <w:p>
      <w:pPr>
        <w:rPr>
          <w:rFonts w:cs="Arial"/>
        </w:rPr>
      </w:pPr>
    </w:p>
    <w:p>
      <w:pPr>
        <w:pStyle w:val="Ttulo3"/>
        <w:rPr>
          <w:rStyle w:val="Ttulo3Char"/>
          <w:b/>
        </w:rPr>
      </w:pPr>
    </w:p>
    <w:p>
      <w:pPr>
        <w:pStyle w:val="Ttulo3"/>
        <w:rPr>
          <w:rStyle w:val="Ttulo3Char"/>
          <w:b/>
        </w:rPr>
      </w:pPr>
      <w:bookmarkStart w:id="185" w:name="_Toc41376174"/>
      <w:r>
        <w:rPr>
          <w:rStyle w:val="Ttulo3Char"/>
          <w:b/>
        </w:rPr>
        <w:t>24.3.6. Despesas com Manutenção e Reparos</w:t>
      </w:r>
      <w:bookmarkEnd w:id="185"/>
    </w:p>
    <w:p>
      <w:pPr>
        <w:ind w:firstLine="426"/>
        <w:rPr>
          <w:rFonts w:cs="Arial"/>
        </w:rPr>
      </w:pPr>
      <w:r>
        <w:rPr>
          <w:rFonts w:cs="Arial"/>
        </w:rPr>
        <w:t>São registradas as manutenções elétricas, mecânicas, civis, veículo, conserto de móveis para escritório/equipamento de informática/máquinas. O aumento foi de 185%, ou R$ 52 mil. A principal variação foi registrada em licenças de software com aumento de R$ 54 mil.</w:t>
      </w:r>
    </w:p>
    <w:p>
      <w:pPr>
        <w:ind w:firstLine="426"/>
        <w:rPr>
          <w:rFonts w:cs="Arial"/>
        </w:rPr>
      </w:pPr>
    </w:p>
    <w:p>
      <w:pPr>
        <w:pStyle w:val="Ttulo3"/>
        <w:rPr>
          <w:rStyle w:val="Ttulo3Char"/>
          <w:b/>
        </w:rPr>
      </w:pPr>
      <w:bookmarkStart w:id="186" w:name="_Toc41376175"/>
      <w:r>
        <w:rPr>
          <w:rStyle w:val="Ttulo3Char"/>
          <w:b/>
        </w:rPr>
        <w:t>24.3.7. Despesas com Utilidades e Serviços</w:t>
      </w:r>
      <w:bookmarkEnd w:id="186"/>
    </w:p>
    <w:p>
      <w:pPr>
        <w:ind w:firstLine="426"/>
        <w:rPr>
          <w:rFonts w:cs="Arial"/>
        </w:rPr>
      </w:pPr>
      <w:r>
        <w:rPr>
          <w:rFonts w:cs="Arial"/>
        </w:rPr>
        <w:t>São despesas com condução, telefone, fretes, seguros, anúncios e publicações, dentre outros. A redução total foi de R$ 109 mil e em pontos percentuais 70%. A principal variação ocorreu em gastos com internet.</w:t>
      </w:r>
    </w:p>
    <w:p>
      <w:pPr>
        <w:ind w:firstLine="426"/>
        <w:rPr>
          <w:rFonts w:cs="Arial"/>
        </w:rPr>
      </w:pPr>
    </w:p>
    <w:p>
      <w:pPr>
        <w:ind w:firstLine="426"/>
        <w:rPr>
          <w:rFonts w:cs="Arial"/>
        </w:rPr>
      </w:pPr>
    </w:p>
    <w:p>
      <w:pPr>
        <w:ind w:firstLine="426"/>
        <w:rPr>
          <w:rFonts w:cs="Arial"/>
        </w:rPr>
      </w:pPr>
    </w:p>
    <w:p>
      <w:pPr>
        <w:pStyle w:val="Ttulo2"/>
      </w:pPr>
      <w:bookmarkStart w:id="187" w:name="_24.4._Outras_Receitas"/>
      <w:bookmarkStart w:id="188" w:name="_Toc41376176"/>
      <w:bookmarkEnd w:id="187"/>
      <w:r>
        <w:t>24.4. Outras Receitas Operacionais</w:t>
      </w:r>
      <w:bookmarkEnd w:id="188"/>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53"/>
        </w:trPr>
        <w:tc>
          <w:tcPr>
            <w:tcW w:w="6575" w:type="dxa"/>
          </w:tcPr>
          <w:p>
            <w:pPr>
              <w:pStyle w:val="Ttulo2"/>
              <w:ind w:left="0"/>
              <w:rPr>
                <w:bCs/>
              </w:rPr>
            </w:pPr>
          </w:p>
        </w:tc>
        <w:tc>
          <w:tcPr>
            <w:tcW w:w="1559" w:type="dxa"/>
          </w:tcPr>
          <w:p>
            <w:pPr>
              <w:pBdr>
                <w:bottom w:val="single" w:sz="4" w:space="1" w:color="000000"/>
              </w:pBdr>
              <w:autoSpaceDE w:val="0"/>
              <w:snapToGrid w:val="0"/>
              <w:jc w:val="right"/>
              <w:rPr>
                <w:rFonts w:cs="Arial"/>
                <w:b/>
                <w:bCs/>
                <w:szCs w:val="22"/>
              </w:rPr>
            </w:pPr>
            <w:r>
              <w:rPr>
                <w:rFonts w:cs="Arial"/>
                <w:b/>
                <w:bCs/>
                <w:szCs w:val="22"/>
              </w:rPr>
              <w:t>31.03.2020</w:t>
            </w:r>
          </w:p>
        </w:tc>
        <w:tc>
          <w:tcPr>
            <w:tcW w:w="1559" w:type="dxa"/>
          </w:tcPr>
          <w:p>
            <w:pPr>
              <w:pBdr>
                <w:bottom w:val="single" w:sz="4" w:space="1" w:color="000000"/>
              </w:pBdr>
              <w:autoSpaceDE w:val="0"/>
              <w:snapToGrid w:val="0"/>
              <w:jc w:val="right"/>
              <w:rPr>
                <w:rFonts w:cs="Arial"/>
                <w:b/>
                <w:bCs/>
                <w:szCs w:val="22"/>
              </w:rPr>
            </w:pPr>
            <w:r>
              <w:rPr>
                <w:rFonts w:cs="Arial"/>
                <w:b/>
                <w:bCs/>
                <w:szCs w:val="22"/>
              </w:rPr>
              <w:t>31.03.2019</w:t>
            </w:r>
          </w:p>
        </w:tc>
      </w:tr>
      <w:tr>
        <w:trPr>
          <w:trHeight w:val="253"/>
        </w:trPr>
        <w:tc>
          <w:tcPr>
            <w:tcW w:w="6575" w:type="dxa"/>
          </w:tcPr>
          <w:p>
            <w:pPr>
              <w:rPr>
                <w:rFonts w:cs="Arial"/>
                <w:szCs w:val="22"/>
              </w:rPr>
            </w:pPr>
            <w:r>
              <w:rPr>
                <w:rFonts w:cs="Arial"/>
                <w:szCs w:val="22"/>
              </w:rPr>
              <w:t>Eventuais</w:t>
            </w:r>
          </w:p>
        </w:tc>
        <w:tc>
          <w:tcPr>
            <w:tcW w:w="1559" w:type="dxa"/>
          </w:tcPr>
          <w:p>
            <w:pPr>
              <w:tabs>
                <w:tab w:val="left" w:pos="1273"/>
              </w:tabs>
              <w:autoSpaceDE w:val="0"/>
              <w:snapToGrid w:val="0"/>
              <w:jc w:val="right"/>
              <w:rPr>
                <w:rFonts w:cs="Arial"/>
                <w:szCs w:val="22"/>
              </w:rPr>
            </w:pPr>
            <w:r>
              <w:rPr>
                <w:rFonts w:cs="Arial"/>
                <w:szCs w:val="22"/>
              </w:rPr>
              <w:t>130</w:t>
            </w:r>
          </w:p>
        </w:tc>
        <w:tc>
          <w:tcPr>
            <w:tcW w:w="1559" w:type="dxa"/>
          </w:tcPr>
          <w:p>
            <w:pPr>
              <w:tabs>
                <w:tab w:val="left" w:pos="1273"/>
              </w:tabs>
              <w:autoSpaceDE w:val="0"/>
              <w:snapToGrid w:val="0"/>
              <w:jc w:val="right"/>
              <w:rPr>
                <w:rFonts w:cs="Arial"/>
                <w:szCs w:val="22"/>
              </w:rPr>
            </w:pPr>
            <w:r>
              <w:rPr>
                <w:rFonts w:cs="Arial"/>
                <w:szCs w:val="22"/>
              </w:rPr>
              <w:t>158</w:t>
            </w:r>
          </w:p>
        </w:tc>
      </w:tr>
      <w:tr>
        <w:trPr>
          <w:trHeight w:val="253"/>
        </w:trPr>
        <w:tc>
          <w:tcPr>
            <w:tcW w:w="6575" w:type="dxa"/>
          </w:tcPr>
          <w:p>
            <w:pPr>
              <w:rPr>
                <w:rFonts w:cs="Arial"/>
                <w:szCs w:val="22"/>
              </w:rPr>
            </w:pPr>
            <w:r>
              <w:rPr>
                <w:rFonts w:cs="Arial"/>
                <w:szCs w:val="22"/>
              </w:rPr>
              <w:t>Alienação do Imobilizado</w:t>
            </w:r>
          </w:p>
        </w:tc>
        <w:tc>
          <w:tcPr>
            <w:tcW w:w="1559" w:type="dxa"/>
          </w:tcPr>
          <w:p>
            <w:pPr>
              <w:tabs>
                <w:tab w:val="left" w:pos="1273"/>
              </w:tabs>
              <w:autoSpaceDE w:val="0"/>
              <w:snapToGrid w:val="0"/>
              <w:jc w:val="right"/>
              <w:rPr>
                <w:rFonts w:cs="Arial"/>
                <w:szCs w:val="22"/>
              </w:rPr>
            </w:pPr>
            <w:r>
              <w:rPr>
                <w:rFonts w:cs="Arial"/>
                <w:szCs w:val="22"/>
              </w:rPr>
              <w:t>1</w:t>
            </w:r>
          </w:p>
        </w:tc>
        <w:tc>
          <w:tcPr>
            <w:tcW w:w="1559" w:type="dxa"/>
          </w:tcPr>
          <w:p>
            <w:pPr>
              <w:tabs>
                <w:tab w:val="left" w:pos="1273"/>
              </w:tabs>
              <w:autoSpaceDE w:val="0"/>
              <w:snapToGrid w:val="0"/>
              <w:jc w:val="right"/>
              <w:rPr>
                <w:rFonts w:cs="Arial"/>
                <w:szCs w:val="22"/>
              </w:rPr>
            </w:pPr>
            <w:r>
              <w:rPr>
                <w:rFonts w:cs="Arial"/>
                <w:szCs w:val="22"/>
              </w:rPr>
              <w:t>-</w:t>
            </w:r>
          </w:p>
        </w:tc>
      </w:tr>
      <w:tr>
        <w:trPr>
          <w:trHeight w:val="317"/>
        </w:trPr>
        <w:tc>
          <w:tcPr>
            <w:tcW w:w="6575" w:type="dxa"/>
          </w:tcPr>
          <w:p>
            <w:pPr>
              <w:rPr>
                <w:rFonts w:cs="Arial"/>
                <w:b/>
                <w:bCs/>
                <w:szCs w:val="22"/>
              </w:rPr>
            </w:pP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131</w:t>
            </w: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158</w:t>
            </w:r>
          </w:p>
        </w:tc>
      </w:tr>
    </w:tbl>
    <w:p>
      <w:pPr>
        <w:ind w:firstLine="426"/>
        <w:rPr>
          <w:rFonts w:cs="Arial"/>
        </w:rPr>
      </w:pPr>
    </w:p>
    <w:p>
      <w:pPr>
        <w:pStyle w:val="Ttulo3"/>
        <w:rPr>
          <w:rStyle w:val="Ttulo3Char"/>
          <w:b/>
        </w:rPr>
      </w:pPr>
      <w:bookmarkStart w:id="189" w:name="_Toc41376177"/>
      <w:r>
        <w:rPr>
          <w:rStyle w:val="Ttulo3Char"/>
          <w:b/>
        </w:rPr>
        <w:t>24.4.1. Eventuais</w:t>
      </w:r>
      <w:bookmarkEnd w:id="189"/>
    </w:p>
    <w:p>
      <w:pPr>
        <w:ind w:firstLine="426"/>
        <w:rPr>
          <w:rFonts w:cs="Arial"/>
        </w:rPr>
      </w:pPr>
      <w:r>
        <w:rPr>
          <w:rFonts w:cs="Arial"/>
        </w:rPr>
        <w:t>Correspondem às multas operacionais, vendas de sucata e outras. As multas operacionais aumentaram de R$ 114 mil para R$ 132 mil e a redução ocorreu em vendas de sucata e em outras receitas.</w:t>
      </w:r>
    </w:p>
    <w:p>
      <w:pPr>
        <w:ind w:firstLine="426"/>
        <w:rPr>
          <w:rFonts w:cs="Arial"/>
        </w:rPr>
      </w:pPr>
    </w:p>
    <w:p>
      <w:pPr>
        <w:rPr>
          <w:rFonts w:cs="Arial"/>
        </w:rPr>
      </w:pPr>
    </w:p>
    <w:p>
      <w:pPr>
        <w:pStyle w:val="Ttulo2"/>
      </w:pPr>
      <w:bookmarkStart w:id="190" w:name="_24.4._Despesas_Financeiras"/>
      <w:bookmarkStart w:id="191" w:name="_24.5._Despesas_Financeiras"/>
      <w:bookmarkStart w:id="192" w:name="_Toc41376178"/>
      <w:bookmarkEnd w:id="190"/>
      <w:bookmarkEnd w:id="191"/>
      <w:r>
        <w:t>24.5. Despesas Financeiras</w:t>
      </w:r>
      <w:bookmarkEnd w:id="192"/>
    </w:p>
    <w:tbl>
      <w:tblPr>
        <w:tblW w:w="9717" w:type="dxa"/>
        <w:tblLayout w:type="fixed"/>
        <w:tblCellMar>
          <w:left w:w="54" w:type="dxa"/>
          <w:right w:w="54" w:type="dxa"/>
        </w:tblCellMar>
        <w:tblLook w:val="0000" w:firstRow="0" w:lastRow="0" w:firstColumn="0" w:lastColumn="0" w:noHBand="0" w:noVBand="0"/>
      </w:tblPr>
      <w:tblGrid>
        <w:gridCol w:w="6591"/>
        <w:gridCol w:w="1563"/>
        <w:gridCol w:w="1563"/>
      </w:tblGrid>
      <w:tr>
        <w:trPr>
          <w:trHeight w:val="254"/>
        </w:trPr>
        <w:tc>
          <w:tcPr>
            <w:tcW w:w="6591" w:type="dxa"/>
          </w:tcPr>
          <w:p>
            <w:pPr>
              <w:pStyle w:val="Ttulo2"/>
              <w:ind w:left="-54"/>
            </w:pPr>
            <w:bookmarkStart w:id="193" w:name="_24.4._Custos_e"/>
            <w:bookmarkEnd w:id="193"/>
          </w:p>
          <w:p>
            <w:pPr>
              <w:pStyle w:val="Ttulo4"/>
              <w:rPr>
                <w:bCs/>
                <w:szCs w:val="22"/>
              </w:rPr>
            </w:pPr>
          </w:p>
        </w:tc>
        <w:tc>
          <w:tcPr>
            <w:tcW w:w="1563" w:type="dxa"/>
          </w:tcPr>
          <w:p>
            <w:pPr>
              <w:pBdr>
                <w:bottom w:val="single" w:sz="4" w:space="1" w:color="000000"/>
              </w:pBdr>
              <w:autoSpaceDE w:val="0"/>
              <w:snapToGrid w:val="0"/>
              <w:jc w:val="right"/>
              <w:rPr>
                <w:rFonts w:cs="Arial"/>
                <w:b/>
                <w:bCs/>
                <w:szCs w:val="22"/>
              </w:rPr>
            </w:pPr>
            <w:r>
              <w:rPr>
                <w:rFonts w:cs="Arial"/>
                <w:b/>
                <w:bCs/>
                <w:szCs w:val="22"/>
              </w:rPr>
              <w:t>31.03.2020</w:t>
            </w:r>
          </w:p>
        </w:tc>
        <w:tc>
          <w:tcPr>
            <w:tcW w:w="1563" w:type="dxa"/>
          </w:tcPr>
          <w:p>
            <w:pPr>
              <w:pBdr>
                <w:bottom w:val="single" w:sz="4" w:space="1" w:color="000000"/>
              </w:pBdr>
              <w:autoSpaceDE w:val="0"/>
              <w:snapToGrid w:val="0"/>
              <w:jc w:val="right"/>
              <w:rPr>
                <w:rFonts w:cs="Arial"/>
                <w:b/>
                <w:bCs/>
                <w:szCs w:val="22"/>
              </w:rPr>
            </w:pPr>
            <w:r>
              <w:rPr>
                <w:rFonts w:cs="Arial"/>
                <w:b/>
                <w:bCs/>
                <w:szCs w:val="22"/>
              </w:rPr>
              <w:t>31.03.2019</w:t>
            </w:r>
          </w:p>
        </w:tc>
      </w:tr>
      <w:tr>
        <w:trPr>
          <w:trHeight w:val="254"/>
        </w:trPr>
        <w:tc>
          <w:tcPr>
            <w:tcW w:w="6591" w:type="dxa"/>
          </w:tcPr>
          <w:p>
            <w:pPr>
              <w:rPr>
                <w:rFonts w:cs="Arial"/>
                <w:szCs w:val="22"/>
              </w:rPr>
            </w:pPr>
            <w:r>
              <w:rPr>
                <w:rFonts w:cs="Arial"/>
                <w:szCs w:val="22"/>
              </w:rPr>
              <w:t>Atualização Monetária</w:t>
            </w:r>
          </w:p>
        </w:tc>
        <w:tc>
          <w:tcPr>
            <w:tcW w:w="1563" w:type="dxa"/>
          </w:tcPr>
          <w:p>
            <w:pPr>
              <w:tabs>
                <w:tab w:val="left" w:pos="1273"/>
              </w:tabs>
              <w:autoSpaceDE w:val="0"/>
              <w:snapToGrid w:val="0"/>
              <w:jc w:val="right"/>
              <w:rPr>
                <w:rFonts w:cs="Arial"/>
                <w:szCs w:val="22"/>
              </w:rPr>
            </w:pPr>
            <w:r>
              <w:rPr>
                <w:rFonts w:cs="Arial"/>
                <w:szCs w:val="22"/>
              </w:rPr>
              <w:t>(5.663)</w:t>
            </w:r>
          </w:p>
        </w:tc>
        <w:tc>
          <w:tcPr>
            <w:tcW w:w="1563" w:type="dxa"/>
          </w:tcPr>
          <w:p>
            <w:pPr>
              <w:tabs>
                <w:tab w:val="left" w:pos="1273"/>
              </w:tabs>
              <w:autoSpaceDE w:val="0"/>
              <w:snapToGrid w:val="0"/>
              <w:jc w:val="right"/>
              <w:rPr>
                <w:rFonts w:cs="Arial"/>
                <w:szCs w:val="22"/>
              </w:rPr>
            </w:pPr>
            <w:r>
              <w:rPr>
                <w:rFonts w:cs="Arial"/>
                <w:szCs w:val="22"/>
              </w:rPr>
              <w:t>(272)</w:t>
            </w:r>
          </w:p>
        </w:tc>
      </w:tr>
      <w:tr>
        <w:trPr>
          <w:trHeight w:val="254"/>
        </w:trPr>
        <w:tc>
          <w:tcPr>
            <w:tcW w:w="6591" w:type="dxa"/>
          </w:tcPr>
          <w:p>
            <w:pPr>
              <w:rPr>
                <w:rFonts w:cs="Arial"/>
                <w:szCs w:val="22"/>
              </w:rPr>
            </w:pPr>
            <w:r>
              <w:rPr>
                <w:rFonts w:cs="Arial"/>
                <w:szCs w:val="22"/>
              </w:rPr>
              <w:t>Juros sobre Outros Encargos</w:t>
            </w:r>
          </w:p>
        </w:tc>
        <w:tc>
          <w:tcPr>
            <w:tcW w:w="1563" w:type="dxa"/>
          </w:tcPr>
          <w:p>
            <w:pPr>
              <w:tabs>
                <w:tab w:val="left" w:pos="1273"/>
              </w:tabs>
              <w:autoSpaceDE w:val="0"/>
              <w:snapToGrid w:val="0"/>
              <w:jc w:val="right"/>
              <w:rPr>
                <w:rFonts w:cs="Arial"/>
                <w:szCs w:val="22"/>
              </w:rPr>
            </w:pPr>
            <w:r>
              <w:rPr>
                <w:rFonts w:cs="Arial"/>
                <w:szCs w:val="22"/>
              </w:rPr>
              <w:t>(460)</w:t>
            </w:r>
          </w:p>
        </w:tc>
        <w:tc>
          <w:tcPr>
            <w:tcW w:w="1563" w:type="dxa"/>
          </w:tcPr>
          <w:p>
            <w:pPr>
              <w:tabs>
                <w:tab w:val="left" w:pos="1273"/>
              </w:tabs>
              <w:autoSpaceDE w:val="0"/>
              <w:snapToGrid w:val="0"/>
              <w:jc w:val="right"/>
              <w:rPr>
                <w:rFonts w:cs="Arial"/>
                <w:szCs w:val="22"/>
              </w:rPr>
            </w:pPr>
            <w:r>
              <w:rPr>
                <w:rFonts w:cs="Arial"/>
                <w:szCs w:val="22"/>
              </w:rPr>
              <w:t>(403)</w:t>
            </w:r>
          </w:p>
        </w:tc>
      </w:tr>
      <w:tr>
        <w:trPr>
          <w:trHeight w:val="254"/>
        </w:trPr>
        <w:tc>
          <w:tcPr>
            <w:tcW w:w="6591" w:type="dxa"/>
          </w:tcPr>
          <w:p>
            <w:pPr>
              <w:rPr>
                <w:rFonts w:cs="Arial"/>
                <w:szCs w:val="22"/>
              </w:rPr>
            </w:pPr>
            <w:r>
              <w:rPr>
                <w:rFonts w:cs="Arial"/>
                <w:szCs w:val="22"/>
              </w:rPr>
              <w:t>Comissões e Despesas Bancárias</w:t>
            </w:r>
          </w:p>
        </w:tc>
        <w:tc>
          <w:tcPr>
            <w:tcW w:w="1563" w:type="dxa"/>
          </w:tcPr>
          <w:p>
            <w:pPr>
              <w:tabs>
                <w:tab w:val="left" w:pos="1273"/>
              </w:tabs>
              <w:autoSpaceDE w:val="0"/>
              <w:snapToGrid w:val="0"/>
              <w:jc w:val="right"/>
              <w:rPr>
                <w:rFonts w:cs="Arial"/>
                <w:szCs w:val="22"/>
              </w:rPr>
            </w:pPr>
            <w:r>
              <w:rPr>
                <w:rFonts w:cs="Arial"/>
                <w:szCs w:val="22"/>
              </w:rPr>
              <w:t>(123)</w:t>
            </w:r>
          </w:p>
        </w:tc>
        <w:tc>
          <w:tcPr>
            <w:tcW w:w="1563" w:type="dxa"/>
          </w:tcPr>
          <w:p>
            <w:pPr>
              <w:tabs>
                <w:tab w:val="left" w:pos="1273"/>
              </w:tabs>
              <w:autoSpaceDE w:val="0"/>
              <w:snapToGrid w:val="0"/>
              <w:jc w:val="right"/>
              <w:rPr>
                <w:rFonts w:cs="Arial"/>
                <w:szCs w:val="22"/>
              </w:rPr>
            </w:pPr>
            <w:r>
              <w:rPr>
                <w:rFonts w:cs="Arial"/>
                <w:szCs w:val="22"/>
              </w:rPr>
              <w:t>(88)</w:t>
            </w:r>
          </w:p>
        </w:tc>
      </w:tr>
      <w:tr>
        <w:trPr>
          <w:trHeight w:val="254"/>
        </w:trPr>
        <w:tc>
          <w:tcPr>
            <w:tcW w:w="6591" w:type="dxa"/>
          </w:tcPr>
          <w:p>
            <w:pPr>
              <w:rPr>
                <w:rFonts w:cs="Arial"/>
                <w:szCs w:val="22"/>
              </w:rPr>
            </w:pPr>
            <w:r>
              <w:rPr>
                <w:rFonts w:cs="Arial"/>
                <w:szCs w:val="22"/>
              </w:rPr>
              <w:t>Juros Financeiros e Empréstimo</w:t>
            </w:r>
          </w:p>
        </w:tc>
        <w:tc>
          <w:tcPr>
            <w:tcW w:w="1563" w:type="dxa"/>
          </w:tcPr>
          <w:p>
            <w:pPr>
              <w:tabs>
                <w:tab w:val="left" w:pos="1273"/>
              </w:tabs>
              <w:autoSpaceDE w:val="0"/>
              <w:snapToGrid w:val="0"/>
              <w:jc w:val="right"/>
              <w:rPr>
                <w:rFonts w:cs="Arial"/>
                <w:szCs w:val="22"/>
              </w:rPr>
            </w:pPr>
            <w:r>
              <w:rPr>
                <w:rFonts w:cs="Arial"/>
                <w:szCs w:val="22"/>
              </w:rPr>
              <w:t>(77)</w:t>
            </w:r>
          </w:p>
        </w:tc>
        <w:tc>
          <w:tcPr>
            <w:tcW w:w="1563" w:type="dxa"/>
          </w:tcPr>
          <w:p>
            <w:pPr>
              <w:tabs>
                <w:tab w:val="left" w:pos="1273"/>
              </w:tabs>
              <w:autoSpaceDE w:val="0"/>
              <w:snapToGrid w:val="0"/>
              <w:jc w:val="right"/>
              <w:rPr>
                <w:rFonts w:cs="Arial"/>
                <w:szCs w:val="22"/>
              </w:rPr>
            </w:pPr>
            <w:r>
              <w:rPr>
                <w:rFonts w:cs="Arial"/>
                <w:szCs w:val="22"/>
              </w:rPr>
              <w:t>(205)</w:t>
            </w:r>
          </w:p>
        </w:tc>
      </w:tr>
      <w:tr>
        <w:trPr>
          <w:trHeight w:val="254"/>
        </w:trPr>
        <w:tc>
          <w:tcPr>
            <w:tcW w:w="6591" w:type="dxa"/>
          </w:tcPr>
          <w:p>
            <w:pPr>
              <w:rPr>
                <w:rFonts w:cs="Arial"/>
                <w:szCs w:val="22"/>
              </w:rPr>
            </w:pPr>
            <w:r>
              <w:rPr>
                <w:rFonts w:cs="Arial"/>
                <w:szCs w:val="22"/>
              </w:rPr>
              <w:t>Imposto sobre Operação Financeira - IOF</w:t>
            </w:r>
          </w:p>
        </w:tc>
        <w:tc>
          <w:tcPr>
            <w:tcW w:w="1563" w:type="dxa"/>
          </w:tcPr>
          <w:p>
            <w:pPr>
              <w:tabs>
                <w:tab w:val="left" w:pos="1273"/>
              </w:tabs>
              <w:autoSpaceDE w:val="0"/>
              <w:snapToGrid w:val="0"/>
              <w:jc w:val="right"/>
              <w:rPr>
                <w:rFonts w:cs="Arial"/>
                <w:szCs w:val="22"/>
              </w:rPr>
            </w:pPr>
            <w:r>
              <w:rPr>
                <w:rFonts w:cs="Arial"/>
                <w:szCs w:val="22"/>
              </w:rPr>
              <w:t>(46)</w:t>
            </w:r>
          </w:p>
        </w:tc>
        <w:tc>
          <w:tcPr>
            <w:tcW w:w="1563" w:type="dxa"/>
          </w:tcPr>
          <w:p>
            <w:pPr>
              <w:tabs>
                <w:tab w:val="left" w:pos="1273"/>
              </w:tabs>
              <w:autoSpaceDE w:val="0"/>
              <w:snapToGrid w:val="0"/>
              <w:jc w:val="right"/>
              <w:rPr>
                <w:rFonts w:cs="Arial"/>
                <w:szCs w:val="22"/>
              </w:rPr>
            </w:pPr>
            <w:r>
              <w:rPr>
                <w:rFonts w:cs="Arial"/>
                <w:szCs w:val="22"/>
              </w:rPr>
              <w:t>(54)</w:t>
            </w:r>
          </w:p>
        </w:tc>
      </w:tr>
      <w:tr>
        <w:trPr>
          <w:trHeight w:val="254"/>
        </w:trPr>
        <w:tc>
          <w:tcPr>
            <w:tcW w:w="6591" w:type="dxa"/>
          </w:tcPr>
          <w:p>
            <w:pPr>
              <w:rPr>
                <w:rFonts w:cs="Arial"/>
                <w:szCs w:val="22"/>
              </w:rPr>
            </w:pPr>
            <w:r>
              <w:rPr>
                <w:rFonts w:cs="Arial"/>
                <w:szCs w:val="22"/>
              </w:rPr>
              <w:t xml:space="preserve">Multas Dedutíveis e </w:t>
            </w:r>
            <w:proofErr w:type="spellStart"/>
            <w:r>
              <w:rPr>
                <w:rFonts w:cs="Arial"/>
                <w:szCs w:val="22"/>
              </w:rPr>
              <w:t>Indedutíveis</w:t>
            </w:r>
            <w:proofErr w:type="spellEnd"/>
          </w:p>
        </w:tc>
        <w:tc>
          <w:tcPr>
            <w:tcW w:w="1563" w:type="dxa"/>
          </w:tcPr>
          <w:p>
            <w:pPr>
              <w:tabs>
                <w:tab w:val="left" w:pos="1273"/>
              </w:tabs>
              <w:autoSpaceDE w:val="0"/>
              <w:snapToGrid w:val="0"/>
              <w:jc w:val="right"/>
              <w:rPr>
                <w:rFonts w:cs="Arial"/>
                <w:szCs w:val="22"/>
              </w:rPr>
            </w:pPr>
            <w:r>
              <w:rPr>
                <w:rFonts w:cs="Arial"/>
                <w:szCs w:val="22"/>
              </w:rPr>
              <w:t>(11)</w:t>
            </w:r>
          </w:p>
        </w:tc>
        <w:tc>
          <w:tcPr>
            <w:tcW w:w="1563" w:type="dxa"/>
          </w:tcPr>
          <w:p>
            <w:pPr>
              <w:tabs>
                <w:tab w:val="left" w:pos="1273"/>
              </w:tabs>
              <w:autoSpaceDE w:val="0"/>
              <w:snapToGrid w:val="0"/>
              <w:jc w:val="right"/>
              <w:rPr>
                <w:rFonts w:cs="Arial"/>
                <w:szCs w:val="22"/>
              </w:rPr>
            </w:pPr>
            <w:r>
              <w:rPr>
                <w:rFonts w:cs="Arial"/>
                <w:szCs w:val="22"/>
              </w:rPr>
              <w:t>(4)</w:t>
            </w:r>
          </w:p>
        </w:tc>
      </w:tr>
      <w:tr>
        <w:trPr>
          <w:trHeight w:val="319"/>
        </w:trPr>
        <w:tc>
          <w:tcPr>
            <w:tcW w:w="6591" w:type="dxa"/>
          </w:tcPr>
          <w:p>
            <w:pPr>
              <w:rPr>
                <w:rFonts w:cs="Arial"/>
                <w:b/>
                <w:bCs/>
                <w:sz w:val="20"/>
              </w:rPr>
            </w:pPr>
          </w:p>
        </w:tc>
        <w:tc>
          <w:tcPr>
            <w:tcW w:w="1563" w:type="dxa"/>
          </w:tcPr>
          <w:p>
            <w:pPr>
              <w:pBdr>
                <w:top w:val="single" w:sz="4" w:space="1" w:color="000000"/>
                <w:bottom w:val="double" w:sz="1" w:space="1" w:color="000000"/>
              </w:pBdr>
              <w:autoSpaceDE w:val="0"/>
              <w:snapToGrid w:val="0"/>
              <w:jc w:val="right"/>
              <w:rPr>
                <w:rFonts w:cs="Arial"/>
                <w:b/>
                <w:szCs w:val="22"/>
              </w:rPr>
            </w:pPr>
            <w:r>
              <w:rPr>
                <w:rFonts w:cs="Arial"/>
                <w:b/>
                <w:szCs w:val="22"/>
              </w:rPr>
              <w:t>(6.380)</w:t>
            </w:r>
          </w:p>
        </w:tc>
        <w:tc>
          <w:tcPr>
            <w:tcW w:w="1563" w:type="dxa"/>
          </w:tcPr>
          <w:p>
            <w:pPr>
              <w:pBdr>
                <w:top w:val="single" w:sz="4" w:space="1" w:color="000000"/>
                <w:bottom w:val="double" w:sz="1" w:space="1" w:color="000000"/>
              </w:pBdr>
              <w:autoSpaceDE w:val="0"/>
              <w:snapToGrid w:val="0"/>
              <w:jc w:val="right"/>
              <w:rPr>
                <w:rFonts w:cs="Arial"/>
                <w:b/>
                <w:szCs w:val="22"/>
              </w:rPr>
            </w:pPr>
            <w:r>
              <w:rPr>
                <w:rFonts w:cs="Arial"/>
                <w:b/>
                <w:szCs w:val="22"/>
              </w:rPr>
              <w:t>(1.026)</w:t>
            </w:r>
          </w:p>
        </w:tc>
      </w:tr>
    </w:tbl>
    <w:p>
      <w:pPr>
        <w:rPr>
          <w:rFonts w:cs="Arial"/>
        </w:rPr>
      </w:pPr>
    </w:p>
    <w:p>
      <w:pPr>
        <w:pStyle w:val="Ttulo3"/>
        <w:rPr>
          <w:rStyle w:val="Ttulo3Char"/>
          <w:b/>
        </w:rPr>
      </w:pPr>
      <w:bookmarkStart w:id="194" w:name="_Toc41376179"/>
      <w:r>
        <w:rPr>
          <w:rStyle w:val="Ttulo3Char"/>
          <w:b/>
        </w:rPr>
        <w:t>24.5.1. Atualização Monetária</w:t>
      </w:r>
      <w:bookmarkEnd w:id="194"/>
    </w:p>
    <w:p>
      <w:pPr>
        <w:ind w:firstLine="426"/>
        <w:rPr>
          <w:rFonts w:cs="Arial"/>
          <w:b/>
        </w:rPr>
      </w:pPr>
      <w:r>
        <w:rPr>
          <w:rFonts w:cs="Arial"/>
        </w:rPr>
        <w:t xml:space="preserve">São registradas as atualizações de PPI, Refis, adiantamento para futuro aumento de capital, reserva especial, parcelamento da taxa de lixo e IPTU a recolher. Foi registrado aumento de R$5,391 milhões, decorrente de atualização das parcelas de IPTU a recolher do exercício de 2019 e IPTU complementar do ETSP, vide nota explicativa nº </w:t>
      </w:r>
      <w:hyperlink w:anchor="_18.1._Impostos_e" w:history="1">
        <w:r>
          <w:rPr>
            <w:rStyle w:val="Hyperlink"/>
            <w:rFonts w:cs="Arial"/>
          </w:rPr>
          <w:t>18.1</w:t>
        </w:r>
      </w:hyperlink>
      <w:r>
        <w:rPr>
          <w:rFonts w:cs="Arial"/>
        </w:rPr>
        <w:t>.</w:t>
      </w:r>
    </w:p>
    <w:p>
      <w:pPr>
        <w:rPr>
          <w:rFonts w:cs="Arial"/>
        </w:rPr>
      </w:pPr>
    </w:p>
    <w:p>
      <w:pPr>
        <w:pStyle w:val="Ttulo3"/>
        <w:rPr>
          <w:rStyle w:val="Ttulo3Char"/>
          <w:b/>
        </w:rPr>
      </w:pPr>
      <w:bookmarkStart w:id="195" w:name="_Toc41376180"/>
      <w:r>
        <w:rPr>
          <w:rStyle w:val="Ttulo3Char"/>
          <w:b/>
        </w:rPr>
        <w:t>24.5.2. Juros Financeiros e Empréstimo, Comissões e Despesas Bancárias e IOF</w:t>
      </w:r>
      <w:bookmarkEnd w:id="195"/>
    </w:p>
    <w:p>
      <w:pPr>
        <w:ind w:firstLine="426"/>
        <w:rPr>
          <w:rStyle w:val="Hyperlink"/>
          <w:rFonts w:cs="Arial"/>
        </w:rPr>
      </w:pPr>
      <w:r>
        <w:rPr>
          <w:rFonts w:cs="Arial"/>
        </w:rPr>
        <w:t xml:space="preserve">Vide nota explicativa nº </w:t>
      </w:r>
      <w:hyperlink w:anchor="_21.5._Encargos_Financeiros" w:history="1">
        <w:r>
          <w:rPr>
            <w:rStyle w:val="Hyperlink"/>
            <w:rFonts w:cs="Arial"/>
          </w:rPr>
          <w:t>21.6</w:t>
        </w:r>
      </w:hyperlink>
      <w:r>
        <w:rPr>
          <w:rStyle w:val="Hyperlink"/>
          <w:rFonts w:cs="Arial"/>
        </w:rPr>
        <w:t>.</w:t>
      </w:r>
    </w:p>
    <w:p>
      <w:pPr>
        <w:rPr>
          <w:rFonts w:cs="Arial"/>
          <w:b/>
        </w:rPr>
      </w:pPr>
    </w:p>
    <w:p>
      <w:pPr>
        <w:rPr>
          <w:rFonts w:cs="Arial"/>
          <w:b/>
        </w:rPr>
      </w:pPr>
    </w:p>
    <w:p>
      <w:pPr>
        <w:pStyle w:val="Ttulo2"/>
      </w:pPr>
      <w:bookmarkStart w:id="196" w:name="_24.5._Receitas_Financeiras_1"/>
      <w:bookmarkStart w:id="197" w:name="_24.6._Receitas_Financeiras"/>
      <w:bookmarkEnd w:id="196"/>
      <w:bookmarkEnd w:id="197"/>
    </w:p>
    <w:p>
      <w:pPr>
        <w:pStyle w:val="Ttulo2"/>
      </w:pPr>
    </w:p>
    <w:p>
      <w:pPr>
        <w:pStyle w:val="Ttulo2"/>
      </w:pPr>
      <w:bookmarkStart w:id="198" w:name="_Toc41376181"/>
      <w:r>
        <w:t>24.6. Receitas Financeiras</w:t>
      </w:r>
      <w:bookmarkEnd w:id="198"/>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53"/>
        </w:trPr>
        <w:tc>
          <w:tcPr>
            <w:tcW w:w="6575" w:type="dxa"/>
          </w:tcPr>
          <w:p>
            <w:pPr>
              <w:pStyle w:val="Ttulo2"/>
              <w:ind w:left="0"/>
              <w:rPr>
                <w:bCs/>
              </w:rPr>
            </w:pPr>
            <w:bookmarkStart w:id="199" w:name="_24.5._Receitas_Financeiras"/>
            <w:bookmarkEnd w:id="199"/>
          </w:p>
        </w:tc>
        <w:tc>
          <w:tcPr>
            <w:tcW w:w="1559" w:type="dxa"/>
          </w:tcPr>
          <w:p>
            <w:pPr>
              <w:pBdr>
                <w:bottom w:val="single" w:sz="4" w:space="1" w:color="000000"/>
              </w:pBdr>
              <w:autoSpaceDE w:val="0"/>
              <w:snapToGrid w:val="0"/>
              <w:jc w:val="right"/>
              <w:rPr>
                <w:rFonts w:cs="Arial"/>
                <w:b/>
                <w:bCs/>
                <w:szCs w:val="22"/>
              </w:rPr>
            </w:pPr>
            <w:r>
              <w:rPr>
                <w:rFonts w:cs="Arial"/>
                <w:b/>
                <w:bCs/>
                <w:szCs w:val="22"/>
              </w:rPr>
              <w:t>31.03.2020</w:t>
            </w:r>
          </w:p>
        </w:tc>
        <w:tc>
          <w:tcPr>
            <w:tcW w:w="1559" w:type="dxa"/>
          </w:tcPr>
          <w:p>
            <w:pPr>
              <w:pBdr>
                <w:bottom w:val="single" w:sz="4" w:space="1" w:color="000000"/>
              </w:pBdr>
              <w:autoSpaceDE w:val="0"/>
              <w:snapToGrid w:val="0"/>
              <w:jc w:val="right"/>
              <w:rPr>
                <w:rFonts w:cs="Arial"/>
                <w:b/>
                <w:bCs/>
                <w:szCs w:val="22"/>
              </w:rPr>
            </w:pPr>
            <w:r>
              <w:rPr>
                <w:rFonts w:cs="Arial"/>
                <w:b/>
                <w:bCs/>
                <w:szCs w:val="22"/>
              </w:rPr>
              <w:t>31.03.2019</w:t>
            </w:r>
          </w:p>
        </w:tc>
      </w:tr>
      <w:tr>
        <w:trPr>
          <w:trHeight w:val="253"/>
        </w:trPr>
        <w:tc>
          <w:tcPr>
            <w:tcW w:w="6575" w:type="dxa"/>
          </w:tcPr>
          <w:p>
            <w:pPr>
              <w:rPr>
                <w:rFonts w:cs="Arial"/>
                <w:szCs w:val="22"/>
              </w:rPr>
            </w:pPr>
            <w:r>
              <w:rPr>
                <w:rFonts w:cs="Arial"/>
                <w:szCs w:val="22"/>
              </w:rPr>
              <w:t>Juros Recebidos</w:t>
            </w:r>
          </w:p>
        </w:tc>
        <w:tc>
          <w:tcPr>
            <w:tcW w:w="1559" w:type="dxa"/>
          </w:tcPr>
          <w:p>
            <w:pPr>
              <w:tabs>
                <w:tab w:val="left" w:pos="1273"/>
              </w:tabs>
              <w:autoSpaceDE w:val="0"/>
              <w:snapToGrid w:val="0"/>
              <w:jc w:val="right"/>
              <w:rPr>
                <w:rFonts w:cs="Arial"/>
                <w:szCs w:val="22"/>
              </w:rPr>
            </w:pPr>
            <w:r>
              <w:rPr>
                <w:rFonts w:cs="Arial"/>
                <w:szCs w:val="22"/>
              </w:rPr>
              <w:t>596</w:t>
            </w:r>
          </w:p>
        </w:tc>
        <w:tc>
          <w:tcPr>
            <w:tcW w:w="1559" w:type="dxa"/>
          </w:tcPr>
          <w:p>
            <w:pPr>
              <w:tabs>
                <w:tab w:val="left" w:pos="1273"/>
              </w:tabs>
              <w:autoSpaceDE w:val="0"/>
              <w:snapToGrid w:val="0"/>
              <w:jc w:val="right"/>
              <w:rPr>
                <w:rFonts w:cs="Arial"/>
                <w:szCs w:val="22"/>
              </w:rPr>
            </w:pPr>
            <w:r>
              <w:rPr>
                <w:rFonts w:cs="Arial"/>
                <w:szCs w:val="22"/>
              </w:rPr>
              <w:t>646</w:t>
            </w:r>
          </w:p>
        </w:tc>
      </w:tr>
      <w:tr>
        <w:trPr>
          <w:trHeight w:val="253"/>
        </w:trPr>
        <w:tc>
          <w:tcPr>
            <w:tcW w:w="6575" w:type="dxa"/>
          </w:tcPr>
          <w:p>
            <w:pPr>
              <w:rPr>
                <w:rFonts w:cs="Arial"/>
                <w:szCs w:val="22"/>
              </w:rPr>
            </w:pPr>
            <w:r>
              <w:rPr>
                <w:rFonts w:cs="Arial"/>
                <w:szCs w:val="22"/>
              </w:rPr>
              <w:t>Multas</w:t>
            </w:r>
          </w:p>
        </w:tc>
        <w:tc>
          <w:tcPr>
            <w:tcW w:w="1559" w:type="dxa"/>
          </w:tcPr>
          <w:p>
            <w:pPr>
              <w:tabs>
                <w:tab w:val="left" w:pos="1273"/>
              </w:tabs>
              <w:autoSpaceDE w:val="0"/>
              <w:snapToGrid w:val="0"/>
              <w:jc w:val="right"/>
              <w:rPr>
                <w:rFonts w:cs="Arial"/>
                <w:szCs w:val="22"/>
              </w:rPr>
            </w:pPr>
            <w:r>
              <w:rPr>
                <w:rFonts w:cs="Arial"/>
                <w:szCs w:val="22"/>
              </w:rPr>
              <w:t>23</w:t>
            </w:r>
          </w:p>
        </w:tc>
        <w:tc>
          <w:tcPr>
            <w:tcW w:w="1559" w:type="dxa"/>
          </w:tcPr>
          <w:p>
            <w:pPr>
              <w:tabs>
                <w:tab w:val="left" w:pos="1273"/>
              </w:tabs>
              <w:autoSpaceDE w:val="0"/>
              <w:snapToGrid w:val="0"/>
              <w:jc w:val="right"/>
              <w:rPr>
                <w:rFonts w:cs="Arial"/>
                <w:szCs w:val="22"/>
              </w:rPr>
            </w:pPr>
            <w:r>
              <w:rPr>
                <w:rFonts w:cs="Arial"/>
                <w:szCs w:val="22"/>
              </w:rPr>
              <w:t>16</w:t>
            </w:r>
          </w:p>
        </w:tc>
      </w:tr>
      <w:tr>
        <w:trPr>
          <w:trHeight w:val="253"/>
        </w:trPr>
        <w:tc>
          <w:tcPr>
            <w:tcW w:w="6575" w:type="dxa"/>
          </w:tcPr>
          <w:p>
            <w:pPr>
              <w:rPr>
                <w:rFonts w:cs="Arial"/>
                <w:szCs w:val="22"/>
              </w:rPr>
            </w:pPr>
            <w:r>
              <w:rPr>
                <w:rFonts w:cs="Arial"/>
                <w:szCs w:val="22"/>
              </w:rPr>
              <w:t>Descontos Obtidos</w:t>
            </w:r>
          </w:p>
        </w:tc>
        <w:tc>
          <w:tcPr>
            <w:tcW w:w="1559" w:type="dxa"/>
          </w:tcPr>
          <w:p>
            <w:pPr>
              <w:tabs>
                <w:tab w:val="left" w:pos="1273"/>
              </w:tabs>
              <w:autoSpaceDE w:val="0"/>
              <w:snapToGrid w:val="0"/>
              <w:jc w:val="right"/>
              <w:rPr>
                <w:rFonts w:cs="Arial"/>
                <w:szCs w:val="22"/>
              </w:rPr>
            </w:pPr>
            <w:r>
              <w:rPr>
                <w:rFonts w:cs="Arial"/>
                <w:szCs w:val="22"/>
              </w:rPr>
              <w:t>4</w:t>
            </w:r>
          </w:p>
        </w:tc>
        <w:tc>
          <w:tcPr>
            <w:tcW w:w="1559" w:type="dxa"/>
          </w:tcPr>
          <w:p>
            <w:pPr>
              <w:tabs>
                <w:tab w:val="left" w:pos="1273"/>
              </w:tabs>
              <w:autoSpaceDE w:val="0"/>
              <w:snapToGrid w:val="0"/>
              <w:jc w:val="right"/>
              <w:rPr>
                <w:rFonts w:cs="Arial"/>
                <w:szCs w:val="22"/>
              </w:rPr>
            </w:pPr>
            <w:r>
              <w:rPr>
                <w:rFonts w:cs="Arial"/>
                <w:szCs w:val="22"/>
              </w:rPr>
              <w:t>35</w:t>
            </w:r>
          </w:p>
        </w:tc>
      </w:tr>
      <w:tr>
        <w:trPr>
          <w:trHeight w:val="253"/>
        </w:trPr>
        <w:tc>
          <w:tcPr>
            <w:tcW w:w="6575" w:type="dxa"/>
          </w:tcPr>
          <w:p>
            <w:pPr>
              <w:rPr>
                <w:rFonts w:cs="Arial"/>
                <w:szCs w:val="22"/>
              </w:rPr>
            </w:pPr>
            <w:r>
              <w:rPr>
                <w:rFonts w:cs="Arial"/>
                <w:szCs w:val="22"/>
              </w:rPr>
              <w:t>Receita s/ Aplicações Financeiras</w:t>
            </w:r>
          </w:p>
        </w:tc>
        <w:tc>
          <w:tcPr>
            <w:tcW w:w="1559" w:type="dxa"/>
          </w:tcPr>
          <w:p>
            <w:pPr>
              <w:tabs>
                <w:tab w:val="left" w:pos="1273"/>
              </w:tabs>
              <w:autoSpaceDE w:val="0"/>
              <w:snapToGrid w:val="0"/>
              <w:jc w:val="right"/>
              <w:rPr>
                <w:rFonts w:cs="Arial"/>
                <w:szCs w:val="22"/>
              </w:rPr>
            </w:pPr>
            <w:r>
              <w:rPr>
                <w:rFonts w:cs="Arial"/>
                <w:szCs w:val="22"/>
              </w:rPr>
              <w:t>-</w:t>
            </w:r>
          </w:p>
        </w:tc>
        <w:tc>
          <w:tcPr>
            <w:tcW w:w="1559" w:type="dxa"/>
          </w:tcPr>
          <w:p>
            <w:pPr>
              <w:tabs>
                <w:tab w:val="left" w:pos="1273"/>
              </w:tabs>
              <w:autoSpaceDE w:val="0"/>
              <w:snapToGrid w:val="0"/>
              <w:jc w:val="right"/>
              <w:rPr>
                <w:rFonts w:cs="Arial"/>
                <w:szCs w:val="22"/>
              </w:rPr>
            </w:pPr>
            <w:r>
              <w:rPr>
                <w:rFonts w:cs="Arial"/>
                <w:szCs w:val="22"/>
              </w:rPr>
              <w:t>36</w:t>
            </w:r>
          </w:p>
        </w:tc>
      </w:tr>
      <w:tr>
        <w:trPr>
          <w:trHeight w:val="317"/>
        </w:trPr>
        <w:tc>
          <w:tcPr>
            <w:tcW w:w="6575" w:type="dxa"/>
          </w:tcPr>
          <w:p>
            <w:pPr>
              <w:rPr>
                <w:rFonts w:cs="Arial"/>
                <w:b/>
                <w:bCs/>
                <w:szCs w:val="22"/>
              </w:rPr>
            </w:pP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623</w:t>
            </w: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733</w:t>
            </w:r>
          </w:p>
        </w:tc>
      </w:tr>
    </w:tbl>
    <w:p>
      <w:pPr>
        <w:rPr>
          <w:rFonts w:cs="Arial"/>
        </w:rPr>
      </w:pPr>
    </w:p>
    <w:p>
      <w:pPr>
        <w:pStyle w:val="Ttulo3"/>
        <w:rPr>
          <w:rStyle w:val="Ttulo3Char"/>
          <w:b/>
        </w:rPr>
      </w:pPr>
      <w:bookmarkStart w:id="200" w:name="_Toc41376182"/>
      <w:r>
        <w:rPr>
          <w:rStyle w:val="Ttulo3Char"/>
          <w:b/>
        </w:rPr>
        <w:t>24.6.1. Juros Recebidos e Multas</w:t>
      </w:r>
      <w:bookmarkEnd w:id="200"/>
    </w:p>
    <w:p>
      <w:pPr>
        <w:ind w:firstLine="426"/>
        <w:rPr>
          <w:rFonts w:cs="Arial"/>
        </w:rPr>
      </w:pPr>
      <w:r>
        <w:rPr>
          <w:rFonts w:cs="Arial"/>
        </w:rPr>
        <w:t>Receitas provenientes de encargos financeiros de boletos recebidos em atraso.</w:t>
      </w:r>
    </w:p>
    <w:p>
      <w:pPr>
        <w:rPr>
          <w:rFonts w:cs="Arial"/>
        </w:rPr>
      </w:pPr>
    </w:p>
    <w:p>
      <w:pPr>
        <w:pStyle w:val="Ttulo3"/>
        <w:rPr>
          <w:rStyle w:val="Ttulo3Char"/>
          <w:b/>
        </w:rPr>
      </w:pPr>
      <w:bookmarkStart w:id="201" w:name="_Toc41376183"/>
      <w:r>
        <w:rPr>
          <w:rStyle w:val="Ttulo3Char"/>
          <w:b/>
        </w:rPr>
        <w:t>24.6.2. Descontos Obtidos</w:t>
      </w:r>
      <w:bookmarkEnd w:id="201"/>
    </w:p>
    <w:p>
      <w:pPr>
        <w:ind w:firstLine="426"/>
        <w:rPr>
          <w:rFonts w:cs="Arial"/>
        </w:rPr>
      </w:pPr>
      <w:r>
        <w:rPr>
          <w:rFonts w:cs="Arial"/>
        </w:rPr>
        <w:t>Receitas obtidas principalmente na antecipação de pagamentos de IPTU.</w:t>
      </w:r>
    </w:p>
    <w:p>
      <w:pPr>
        <w:rPr>
          <w:rFonts w:cs="Arial"/>
        </w:rPr>
      </w:pPr>
    </w:p>
    <w:p>
      <w:pPr>
        <w:pStyle w:val="Ttulo3"/>
        <w:rPr>
          <w:rStyle w:val="Ttulo3Char"/>
          <w:b/>
        </w:rPr>
      </w:pPr>
      <w:bookmarkStart w:id="202" w:name="_Toc41376184"/>
      <w:r>
        <w:rPr>
          <w:rStyle w:val="Ttulo3Char"/>
          <w:b/>
        </w:rPr>
        <w:t>24.6.3. Receita sobre Aplicações Financeiras</w:t>
      </w:r>
      <w:bookmarkEnd w:id="202"/>
    </w:p>
    <w:p>
      <w:pPr>
        <w:ind w:firstLine="426"/>
        <w:rPr>
          <w:rFonts w:cs="Arial"/>
        </w:rPr>
      </w:pPr>
      <w:r>
        <w:rPr>
          <w:rFonts w:cs="Arial"/>
        </w:rPr>
        <w:t>As aplicações foram encerradas no mês de fevereiro de 2019.</w:t>
      </w:r>
    </w:p>
    <w:p>
      <w:pPr>
        <w:rPr>
          <w:rFonts w:cs="Arial"/>
        </w:rPr>
      </w:pPr>
    </w:p>
    <w:p>
      <w:pPr>
        <w:rPr>
          <w:rFonts w:cs="Arial"/>
        </w:rPr>
      </w:pPr>
    </w:p>
    <w:p>
      <w:pPr>
        <w:rPr>
          <w:rFonts w:cs="Arial"/>
        </w:rPr>
      </w:pPr>
    </w:p>
    <w:p>
      <w:pPr>
        <w:pStyle w:val="Ttulo1"/>
        <w:rPr>
          <w:rFonts w:cs="Arial"/>
        </w:rPr>
      </w:pPr>
      <w:bookmarkStart w:id="203" w:name="_Toc41376185"/>
      <w:r>
        <w:t>25.</w:t>
      </w:r>
      <w:r>
        <w:tab/>
        <w:t>EBITDA</w:t>
      </w:r>
      <w:bookmarkEnd w:id="203"/>
    </w:p>
    <w:tbl>
      <w:tblPr>
        <w:tblW w:w="9639" w:type="dxa"/>
        <w:tblLayout w:type="fixed"/>
        <w:tblCellMar>
          <w:left w:w="54" w:type="dxa"/>
          <w:right w:w="54" w:type="dxa"/>
        </w:tblCellMar>
        <w:tblLook w:val="0000" w:firstRow="0" w:lastRow="0" w:firstColumn="0" w:lastColumn="0" w:noHBand="0" w:noVBand="0"/>
      </w:tblPr>
      <w:tblGrid>
        <w:gridCol w:w="6008"/>
        <w:gridCol w:w="2072"/>
        <w:gridCol w:w="1559"/>
      </w:tblGrid>
      <w:tr>
        <w:trPr>
          <w:trHeight w:val="105"/>
        </w:trPr>
        <w:tc>
          <w:tcPr>
            <w:tcW w:w="6008" w:type="dxa"/>
          </w:tcPr>
          <w:p>
            <w:pPr>
              <w:pStyle w:val="Ttulo1"/>
              <w:rPr>
                <w:szCs w:val="22"/>
              </w:rPr>
            </w:pPr>
            <w:bookmarkStart w:id="204" w:name="_25._EBITDA"/>
            <w:bookmarkEnd w:id="204"/>
          </w:p>
        </w:tc>
        <w:tc>
          <w:tcPr>
            <w:tcW w:w="2072" w:type="dxa"/>
          </w:tcPr>
          <w:p>
            <w:pPr>
              <w:pBdr>
                <w:bottom w:val="single" w:sz="4" w:space="1" w:color="000000"/>
              </w:pBdr>
              <w:autoSpaceDE w:val="0"/>
              <w:snapToGrid w:val="0"/>
              <w:jc w:val="right"/>
              <w:rPr>
                <w:rFonts w:cs="Arial"/>
                <w:b/>
                <w:bCs/>
                <w:szCs w:val="22"/>
              </w:rPr>
            </w:pPr>
            <w:r>
              <w:rPr>
                <w:rFonts w:cs="Arial"/>
                <w:b/>
                <w:bCs/>
                <w:szCs w:val="22"/>
              </w:rPr>
              <w:t>31.03.2020</w:t>
            </w:r>
          </w:p>
        </w:tc>
        <w:tc>
          <w:tcPr>
            <w:tcW w:w="1559" w:type="dxa"/>
          </w:tcPr>
          <w:p>
            <w:pPr>
              <w:pBdr>
                <w:bottom w:val="single" w:sz="4" w:space="1" w:color="000000"/>
              </w:pBdr>
              <w:autoSpaceDE w:val="0"/>
              <w:snapToGrid w:val="0"/>
              <w:jc w:val="right"/>
              <w:rPr>
                <w:rFonts w:cs="Arial"/>
                <w:b/>
                <w:bCs/>
                <w:szCs w:val="22"/>
              </w:rPr>
            </w:pPr>
            <w:r>
              <w:rPr>
                <w:rFonts w:cs="Arial"/>
                <w:b/>
                <w:bCs/>
                <w:szCs w:val="22"/>
              </w:rPr>
              <w:t>31.03.2019</w:t>
            </w:r>
          </w:p>
        </w:tc>
      </w:tr>
    </w:tbl>
    <w:p>
      <w:pPr>
        <w:rPr>
          <w:rFonts w:cs="Arial"/>
          <w:b/>
          <w:bCs/>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53"/>
        </w:trPr>
        <w:tc>
          <w:tcPr>
            <w:tcW w:w="6575" w:type="dxa"/>
          </w:tcPr>
          <w:p>
            <w:pPr>
              <w:rPr>
                <w:rFonts w:cs="Arial"/>
                <w:szCs w:val="22"/>
              </w:rPr>
            </w:pPr>
            <w:r>
              <w:rPr>
                <w:rFonts w:cs="Arial"/>
                <w:szCs w:val="22"/>
              </w:rPr>
              <w:t>Resultado antes dos Tributos sobre o Lucro</w:t>
            </w:r>
          </w:p>
        </w:tc>
        <w:tc>
          <w:tcPr>
            <w:tcW w:w="1559" w:type="dxa"/>
          </w:tcPr>
          <w:p>
            <w:pPr>
              <w:tabs>
                <w:tab w:val="left" w:pos="1273"/>
              </w:tabs>
              <w:autoSpaceDE w:val="0"/>
              <w:snapToGrid w:val="0"/>
              <w:jc w:val="right"/>
              <w:rPr>
                <w:rFonts w:cs="Arial"/>
                <w:szCs w:val="22"/>
              </w:rPr>
            </w:pPr>
            <w:r>
              <w:rPr>
                <w:rFonts w:cs="Arial"/>
                <w:szCs w:val="22"/>
              </w:rPr>
              <w:t>(5.917)</w:t>
            </w:r>
          </w:p>
        </w:tc>
        <w:tc>
          <w:tcPr>
            <w:tcW w:w="1559" w:type="dxa"/>
          </w:tcPr>
          <w:p>
            <w:pPr>
              <w:tabs>
                <w:tab w:val="left" w:pos="1273"/>
              </w:tabs>
              <w:autoSpaceDE w:val="0"/>
              <w:snapToGrid w:val="0"/>
              <w:jc w:val="right"/>
              <w:rPr>
                <w:rFonts w:cs="Arial"/>
                <w:szCs w:val="22"/>
              </w:rPr>
            </w:pPr>
            <w:r>
              <w:rPr>
                <w:rFonts w:cs="Arial"/>
                <w:szCs w:val="22"/>
              </w:rPr>
              <w:t>(5.726)</w:t>
            </w:r>
          </w:p>
        </w:tc>
      </w:tr>
      <w:tr>
        <w:trPr>
          <w:trHeight w:val="253"/>
        </w:trPr>
        <w:tc>
          <w:tcPr>
            <w:tcW w:w="6575" w:type="dxa"/>
          </w:tcPr>
          <w:p>
            <w:pPr>
              <w:rPr>
                <w:rFonts w:cs="Arial"/>
                <w:szCs w:val="22"/>
              </w:rPr>
            </w:pPr>
            <w:r>
              <w:rPr>
                <w:rFonts w:cs="Arial"/>
                <w:szCs w:val="22"/>
              </w:rPr>
              <w:t>(-) Receita Financeira</w:t>
            </w:r>
          </w:p>
        </w:tc>
        <w:tc>
          <w:tcPr>
            <w:tcW w:w="1559" w:type="dxa"/>
          </w:tcPr>
          <w:p>
            <w:pPr>
              <w:tabs>
                <w:tab w:val="left" w:pos="1273"/>
              </w:tabs>
              <w:autoSpaceDE w:val="0"/>
              <w:snapToGrid w:val="0"/>
              <w:jc w:val="right"/>
              <w:rPr>
                <w:rFonts w:cs="Arial"/>
                <w:szCs w:val="22"/>
              </w:rPr>
            </w:pPr>
            <w:r>
              <w:rPr>
                <w:rFonts w:cs="Arial"/>
                <w:szCs w:val="22"/>
              </w:rPr>
              <w:t>(623)</w:t>
            </w:r>
          </w:p>
        </w:tc>
        <w:tc>
          <w:tcPr>
            <w:tcW w:w="1559" w:type="dxa"/>
          </w:tcPr>
          <w:p>
            <w:pPr>
              <w:tabs>
                <w:tab w:val="left" w:pos="1273"/>
              </w:tabs>
              <w:autoSpaceDE w:val="0"/>
              <w:snapToGrid w:val="0"/>
              <w:jc w:val="right"/>
              <w:rPr>
                <w:rFonts w:cs="Arial"/>
                <w:szCs w:val="22"/>
              </w:rPr>
            </w:pPr>
            <w:r>
              <w:rPr>
                <w:rFonts w:cs="Arial"/>
                <w:szCs w:val="22"/>
              </w:rPr>
              <w:t>(733)</w:t>
            </w:r>
          </w:p>
        </w:tc>
      </w:tr>
      <w:tr>
        <w:trPr>
          <w:trHeight w:val="253"/>
        </w:trPr>
        <w:tc>
          <w:tcPr>
            <w:tcW w:w="6575" w:type="dxa"/>
          </w:tcPr>
          <w:p>
            <w:pPr>
              <w:rPr>
                <w:rFonts w:cs="Arial"/>
                <w:szCs w:val="22"/>
              </w:rPr>
            </w:pPr>
            <w:r>
              <w:rPr>
                <w:rFonts w:cs="Arial"/>
                <w:szCs w:val="22"/>
              </w:rPr>
              <w:t>(+) Despesa Financeira</w:t>
            </w:r>
          </w:p>
        </w:tc>
        <w:tc>
          <w:tcPr>
            <w:tcW w:w="1559" w:type="dxa"/>
          </w:tcPr>
          <w:p>
            <w:pPr>
              <w:tabs>
                <w:tab w:val="left" w:pos="1273"/>
              </w:tabs>
              <w:autoSpaceDE w:val="0"/>
              <w:snapToGrid w:val="0"/>
              <w:jc w:val="right"/>
              <w:rPr>
                <w:rFonts w:cs="Arial"/>
                <w:szCs w:val="22"/>
              </w:rPr>
            </w:pPr>
            <w:r>
              <w:rPr>
                <w:rFonts w:cs="Arial"/>
                <w:szCs w:val="22"/>
              </w:rPr>
              <w:t>6.380</w:t>
            </w:r>
          </w:p>
        </w:tc>
        <w:tc>
          <w:tcPr>
            <w:tcW w:w="1559" w:type="dxa"/>
          </w:tcPr>
          <w:p>
            <w:pPr>
              <w:tabs>
                <w:tab w:val="left" w:pos="1273"/>
              </w:tabs>
              <w:autoSpaceDE w:val="0"/>
              <w:snapToGrid w:val="0"/>
              <w:jc w:val="right"/>
              <w:rPr>
                <w:rFonts w:cs="Arial"/>
                <w:szCs w:val="22"/>
              </w:rPr>
            </w:pPr>
            <w:r>
              <w:rPr>
                <w:rFonts w:cs="Arial"/>
                <w:szCs w:val="22"/>
              </w:rPr>
              <w:t>1.026</w:t>
            </w:r>
          </w:p>
        </w:tc>
      </w:tr>
      <w:tr>
        <w:trPr>
          <w:trHeight w:val="253"/>
        </w:trPr>
        <w:tc>
          <w:tcPr>
            <w:tcW w:w="6575" w:type="dxa"/>
          </w:tcPr>
          <w:p>
            <w:pPr>
              <w:rPr>
                <w:rFonts w:cs="Arial"/>
                <w:szCs w:val="22"/>
              </w:rPr>
            </w:pPr>
            <w:r>
              <w:rPr>
                <w:rFonts w:cs="Arial"/>
                <w:szCs w:val="22"/>
              </w:rPr>
              <w:t>(+) Depreciações e Amortizações</w:t>
            </w:r>
          </w:p>
        </w:tc>
        <w:tc>
          <w:tcPr>
            <w:tcW w:w="1559" w:type="dxa"/>
          </w:tcPr>
          <w:p>
            <w:pPr>
              <w:tabs>
                <w:tab w:val="left" w:pos="1273"/>
              </w:tabs>
              <w:autoSpaceDE w:val="0"/>
              <w:snapToGrid w:val="0"/>
              <w:jc w:val="right"/>
              <w:rPr>
                <w:rFonts w:cs="Arial"/>
                <w:szCs w:val="22"/>
              </w:rPr>
            </w:pPr>
            <w:r>
              <w:rPr>
                <w:rFonts w:cs="Arial"/>
                <w:szCs w:val="22"/>
              </w:rPr>
              <w:t>1.857</w:t>
            </w:r>
          </w:p>
        </w:tc>
        <w:tc>
          <w:tcPr>
            <w:tcW w:w="1559" w:type="dxa"/>
          </w:tcPr>
          <w:p>
            <w:pPr>
              <w:tabs>
                <w:tab w:val="left" w:pos="1273"/>
              </w:tabs>
              <w:autoSpaceDE w:val="0"/>
              <w:snapToGrid w:val="0"/>
              <w:jc w:val="right"/>
              <w:rPr>
                <w:rFonts w:cs="Arial"/>
                <w:szCs w:val="22"/>
              </w:rPr>
            </w:pPr>
            <w:r>
              <w:rPr>
                <w:rFonts w:cs="Arial"/>
                <w:szCs w:val="22"/>
              </w:rPr>
              <w:t>1.590</w:t>
            </w:r>
          </w:p>
        </w:tc>
      </w:tr>
      <w:tr>
        <w:trPr>
          <w:trHeight w:val="317"/>
        </w:trPr>
        <w:tc>
          <w:tcPr>
            <w:tcW w:w="6575" w:type="dxa"/>
          </w:tcPr>
          <w:p>
            <w:pPr>
              <w:rPr>
                <w:rFonts w:cs="Arial"/>
                <w:b/>
                <w:bCs/>
                <w:szCs w:val="22"/>
              </w:rPr>
            </w:pP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1.697</w:t>
            </w:r>
          </w:p>
        </w:tc>
        <w:tc>
          <w:tcPr>
            <w:tcW w:w="1559" w:type="dxa"/>
          </w:tcPr>
          <w:p>
            <w:pPr>
              <w:pBdr>
                <w:top w:val="single" w:sz="4" w:space="1" w:color="000000"/>
                <w:bottom w:val="double" w:sz="1" w:space="1" w:color="000000"/>
              </w:pBdr>
              <w:autoSpaceDE w:val="0"/>
              <w:snapToGrid w:val="0"/>
              <w:jc w:val="right"/>
              <w:rPr>
                <w:rFonts w:cs="Arial"/>
                <w:b/>
                <w:szCs w:val="22"/>
              </w:rPr>
            </w:pPr>
            <w:r>
              <w:rPr>
                <w:rFonts w:cs="Arial"/>
                <w:b/>
                <w:szCs w:val="22"/>
              </w:rPr>
              <w:t>(3.843)</w:t>
            </w:r>
          </w:p>
        </w:tc>
      </w:tr>
    </w:tbl>
    <w:p>
      <w:pPr>
        <w:rPr>
          <w:rFonts w:cs="Arial"/>
          <w:b/>
          <w:bCs/>
          <w:sz w:val="20"/>
        </w:rPr>
      </w:pPr>
    </w:p>
    <w:p>
      <w:pPr>
        <w:ind w:firstLine="709"/>
        <w:rPr>
          <w:rFonts w:cs="Arial"/>
        </w:rPr>
      </w:pPr>
      <w:r>
        <w:rPr>
          <w:rFonts w:cs="Arial"/>
          <w:bCs/>
          <w:szCs w:val="22"/>
        </w:rPr>
        <w:t>O EBITDA, resultado operacional da Companhia, fechou positivo em 31 de março de 2020. Em relação a 2019, o prejuízo apresentou um ligeiro declínio, de 3%. Contudo, a despesa financeira foi registrada com um aumento de R$ 5,354 milhões e percentualmente em 522%.</w:t>
      </w:r>
    </w:p>
    <w:p>
      <w:pPr>
        <w:rPr>
          <w:rFonts w:cs="Arial"/>
          <w:b/>
          <w:bCs/>
        </w:rPr>
      </w:pPr>
    </w:p>
    <w:p>
      <w:pPr>
        <w:rPr>
          <w:rFonts w:cs="Arial"/>
          <w:b/>
          <w:bCs/>
        </w:rPr>
      </w:pPr>
    </w:p>
    <w:p>
      <w:pPr>
        <w:pStyle w:val="Ttulo1"/>
        <w:rPr>
          <w:rStyle w:val="Forte"/>
          <w:b/>
          <w:bCs w:val="0"/>
          <w:szCs w:val="22"/>
        </w:rPr>
      </w:pPr>
      <w:bookmarkStart w:id="205" w:name="_26._REMUNERAÇÃO_PAGA"/>
      <w:bookmarkStart w:id="206" w:name="_Toc41376186"/>
      <w:bookmarkEnd w:id="205"/>
      <w:r>
        <w:rPr>
          <w:szCs w:val="22"/>
        </w:rPr>
        <w:t>26.</w:t>
      </w:r>
      <w:r>
        <w:rPr>
          <w:szCs w:val="22"/>
        </w:rPr>
        <w:tab/>
        <w:t>REMUNERAÇÃO</w:t>
      </w:r>
      <w:r>
        <w:rPr>
          <w:rStyle w:val="Forte"/>
          <w:b/>
          <w:bCs w:val="0"/>
          <w:szCs w:val="22"/>
        </w:rPr>
        <w:t xml:space="preserve"> PAGA A ADMINISTRADORES E EMPREGADOS</w:t>
      </w:r>
      <w:bookmarkEnd w:id="206"/>
    </w:p>
    <w:p>
      <w:pPr>
        <w:pStyle w:val="WW-Recuodecorpodetexto2"/>
      </w:pPr>
    </w:p>
    <w:p>
      <w:pPr>
        <w:ind w:firstLine="709"/>
        <w:rPr>
          <w:rFonts w:cs="Arial"/>
        </w:rPr>
      </w:pPr>
      <w:r>
        <w:rPr>
          <w:rFonts w:cs="Arial"/>
        </w:rPr>
        <w:t>Apresentação das remunerações mensais em 31 de março de 2020, pagas pela Companhia a seus dirigentes e funcionários, computadas todas as vantagens, efetivamente percebidas, respeitando ainda os limites impostos pela legislação pertinente:</w:t>
      </w:r>
    </w:p>
    <w:p>
      <w:pPr>
        <w:rPr>
          <w:rFonts w:cs="Arial"/>
        </w:rPr>
      </w:pPr>
    </w:p>
    <w:tbl>
      <w:tblPr>
        <w:tblW w:w="9736" w:type="dxa"/>
        <w:tblLayout w:type="fixed"/>
        <w:tblCellMar>
          <w:left w:w="54" w:type="dxa"/>
          <w:right w:w="54" w:type="dxa"/>
        </w:tblCellMar>
        <w:tblLook w:val="0000" w:firstRow="0" w:lastRow="0" w:firstColumn="0" w:lastColumn="0" w:noHBand="0" w:noVBand="0"/>
      </w:tblPr>
      <w:tblGrid>
        <w:gridCol w:w="6575"/>
        <w:gridCol w:w="1505"/>
        <w:gridCol w:w="54"/>
        <w:gridCol w:w="1505"/>
        <w:gridCol w:w="97"/>
      </w:tblGrid>
      <w:tr>
        <w:trPr>
          <w:gridAfter w:val="1"/>
          <w:wAfter w:w="97" w:type="dxa"/>
          <w:trHeight w:val="240"/>
        </w:trPr>
        <w:tc>
          <w:tcPr>
            <w:tcW w:w="6575" w:type="dxa"/>
          </w:tcPr>
          <w:p>
            <w:pPr>
              <w:autoSpaceDE w:val="0"/>
              <w:snapToGrid w:val="0"/>
              <w:rPr>
                <w:rFonts w:cs="Arial"/>
                <w:b/>
                <w:bCs/>
                <w:szCs w:val="22"/>
              </w:rPr>
            </w:pPr>
          </w:p>
          <w:p>
            <w:pPr>
              <w:autoSpaceDE w:val="0"/>
              <w:snapToGrid w:val="0"/>
              <w:rPr>
                <w:rFonts w:cs="Arial"/>
                <w:b/>
                <w:bCs/>
                <w:szCs w:val="22"/>
              </w:rPr>
            </w:pPr>
          </w:p>
        </w:tc>
        <w:tc>
          <w:tcPr>
            <w:tcW w:w="1505" w:type="dxa"/>
          </w:tcPr>
          <w:p>
            <w:pPr>
              <w:pBdr>
                <w:bottom w:val="single" w:sz="4" w:space="1" w:color="000000"/>
              </w:pBdr>
              <w:autoSpaceDE w:val="0"/>
              <w:snapToGrid w:val="0"/>
              <w:jc w:val="right"/>
              <w:rPr>
                <w:rFonts w:cs="Arial"/>
                <w:b/>
                <w:bCs/>
                <w:szCs w:val="22"/>
              </w:rPr>
            </w:pPr>
            <w:r>
              <w:rPr>
                <w:rFonts w:cs="Arial"/>
                <w:b/>
                <w:bCs/>
                <w:szCs w:val="22"/>
              </w:rPr>
              <w:t>31.03.2020</w:t>
            </w:r>
          </w:p>
        </w:tc>
        <w:tc>
          <w:tcPr>
            <w:tcW w:w="1559" w:type="dxa"/>
            <w:gridSpan w:val="2"/>
          </w:tcPr>
          <w:p>
            <w:pPr>
              <w:pBdr>
                <w:bottom w:val="single" w:sz="4" w:space="1" w:color="000000"/>
              </w:pBdr>
              <w:tabs>
                <w:tab w:val="center" w:pos="774"/>
                <w:tab w:val="right" w:pos="1548"/>
              </w:tabs>
              <w:autoSpaceDE w:val="0"/>
              <w:snapToGrid w:val="0"/>
              <w:ind w:right="-54"/>
              <w:jc w:val="right"/>
              <w:rPr>
                <w:rFonts w:cs="Arial"/>
                <w:b/>
                <w:bCs/>
                <w:szCs w:val="22"/>
              </w:rPr>
            </w:pPr>
            <w:r>
              <w:rPr>
                <w:rFonts w:cs="Arial"/>
                <w:b/>
                <w:bCs/>
                <w:szCs w:val="22"/>
              </w:rPr>
              <w:tab/>
              <w:t>31.12.2019</w:t>
            </w:r>
          </w:p>
        </w:tc>
      </w:tr>
      <w:tr>
        <w:trPr>
          <w:trHeight w:val="240"/>
        </w:trPr>
        <w:tc>
          <w:tcPr>
            <w:tcW w:w="6575" w:type="dxa"/>
          </w:tcPr>
          <w:p>
            <w:pPr>
              <w:autoSpaceDE w:val="0"/>
              <w:snapToGrid w:val="0"/>
              <w:rPr>
                <w:rFonts w:cs="Arial"/>
                <w:b/>
                <w:bCs/>
                <w:szCs w:val="22"/>
              </w:rPr>
            </w:pPr>
            <w:r>
              <w:rPr>
                <w:rFonts w:cs="Arial"/>
                <w:b/>
                <w:bCs/>
                <w:szCs w:val="22"/>
              </w:rPr>
              <w:t>Administradores</w:t>
            </w:r>
          </w:p>
        </w:tc>
        <w:tc>
          <w:tcPr>
            <w:tcW w:w="1559" w:type="dxa"/>
            <w:gridSpan w:val="2"/>
          </w:tcPr>
          <w:p>
            <w:pPr>
              <w:autoSpaceDE w:val="0"/>
              <w:snapToGrid w:val="0"/>
              <w:jc w:val="right"/>
              <w:rPr>
                <w:rFonts w:cs="Arial"/>
                <w:szCs w:val="22"/>
              </w:rPr>
            </w:pPr>
          </w:p>
        </w:tc>
        <w:tc>
          <w:tcPr>
            <w:tcW w:w="1602" w:type="dxa"/>
            <w:gridSpan w:val="2"/>
          </w:tcPr>
          <w:p>
            <w:pPr>
              <w:autoSpaceDE w:val="0"/>
              <w:snapToGrid w:val="0"/>
              <w:ind w:right="-54"/>
              <w:jc w:val="right"/>
              <w:rPr>
                <w:rFonts w:cs="Arial"/>
                <w:szCs w:val="22"/>
              </w:rPr>
            </w:pPr>
          </w:p>
        </w:tc>
      </w:tr>
      <w:tr>
        <w:trPr>
          <w:trHeight w:val="240"/>
        </w:trPr>
        <w:tc>
          <w:tcPr>
            <w:tcW w:w="6575" w:type="dxa"/>
          </w:tcPr>
          <w:p>
            <w:pPr>
              <w:numPr>
                <w:ilvl w:val="0"/>
                <w:numId w:val="3"/>
              </w:numPr>
              <w:tabs>
                <w:tab w:val="left" w:pos="0"/>
              </w:tabs>
              <w:autoSpaceDE w:val="0"/>
              <w:snapToGrid w:val="0"/>
              <w:rPr>
                <w:rFonts w:cs="Arial"/>
                <w:szCs w:val="22"/>
              </w:rPr>
            </w:pPr>
            <w:r>
              <w:rPr>
                <w:rFonts w:cs="Arial"/>
                <w:szCs w:val="22"/>
              </w:rPr>
              <w:t>Maior Remuneração</w:t>
            </w:r>
          </w:p>
        </w:tc>
        <w:tc>
          <w:tcPr>
            <w:tcW w:w="1559" w:type="dxa"/>
            <w:gridSpan w:val="2"/>
          </w:tcPr>
          <w:p>
            <w:pPr>
              <w:autoSpaceDE w:val="0"/>
              <w:snapToGrid w:val="0"/>
              <w:jc w:val="right"/>
              <w:rPr>
                <w:rFonts w:cs="Arial"/>
                <w:szCs w:val="22"/>
              </w:rPr>
            </w:pPr>
            <w:r>
              <w:rPr>
                <w:rFonts w:cs="Arial"/>
                <w:szCs w:val="22"/>
              </w:rPr>
              <w:t>32</w:t>
            </w:r>
          </w:p>
        </w:tc>
        <w:tc>
          <w:tcPr>
            <w:tcW w:w="1602" w:type="dxa"/>
            <w:gridSpan w:val="2"/>
          </w:tcPr>
          <w:p>
            <w:pPr>
              <w:autoSpaceDE w:val="0"/>
              <w:snapToGrid w:val="0"/>
              <w:jc w:val="right"/>
              <w:rPr>
                <w:rFonts w:cs="Arial"/>
                <w:szCs w:val="22"/>
              </w:rPr>
            </w:pPr>
            <w:r>
              <w:rPr>
                <w:rFonts w:cs="Arial"/>
                <w:szCs w:val="22"/>
              </w:rPr>
              <w:t>32</w:t>
            </w:r>
          </w:p>
        </w:tc>
      </w:tr>
      <w:tr>
        <w:trPr>
          <w:trHeight w:val="240"/>
        </w:trPr>
        <w:tc>
          <w:tcPr>
            <w:tcW w:w="6575" w:type="dxa"/>
          </w:tcPr>
          <w:p>
            <w:pPr>
              <w:numPr>
                <w:ilvl w:val="0"/>
                <w:numId w:val="3"/>
              </w:numPr>
              <w:tabs>
                <w:tab w:val="left" w:pos="0"/>
              </w:tabs>
              <w:autoSpaceDE w:val="0"/>
              <w:snapToGrid w:val="0"/>
              <w:rPr>
                <w:rFonts w:cs="Arial"/>
                <w:szCs w:val="22"/>
              </w:rPr>
            </w:pPr>
            <w:r>
              <w:rPr>
                <w:rFonts w:cs="Arial"/>
                <w:szCs w:val="22"/>
              </w:rPr>
              <w:t>Menor Remuneração</w:t>
            </w:r>
          </w:p>
        </w:tc>
        <w:tc>
          <w:tcPr>
            <w:tcW w:w="1559" w:type="dxa"/>
            <w:gridSpan w:val="2"/>
          </w:tcPr>
          <w:p>
            <w:pPr>
              <w:autoSpaceDE w:val="0"/>
              <w:snapToGrid w:val="0"/>
              <w:jc w:val="right"/>
              <w:rPr>
                <w:rFonts w:cs="Arial"/>
                <w:szCs w:val="22"/>
              </w:rPr>
            </w:pPr>
            <w:r>
              <w:rPr>
                <w:rFonts w:cs="Arial"/>
                <w:szCs w:val="22"/>
              </w:rPr>
              <w:t>3</w:t>
            </w:r>
          </w:p>
        </w:tc>
        <w:tc>
          <w:tcPr>
            <w:tcW w:w="1602" w:type="dxa"/>
            <w:gridSpan w:val="2"/>
          </w:tcPr>
          <w:p>
            <w:pPr>
              <w:autoSpaceDE w:val="0"/>
              <w:snapToGrid w:val="0"/>
              <w:jc w:val="right"/>
              <w:rPr>
                <w:rFonts w:cs="Arial"/>
                <w:szCs w:val="22"/>
              </w:rPr>
            </w:pPr>
            <w:r>
              <w:rPr>
                <w:rFonts w:cs="Arial"/>
                <w:szCs w:val="22"/>
              </w:rPr>
              <w:t>3</w:t>
            </w:r>
          </w:p>
        </w:tc>
      </w:tr>
      <w:tr>
        <w:trPr>
          <w:trHeight w:val="240"/>
        </w:trPr>
        <w:tc>
          <w:tcPr>
            <w:tcW w:w="6575" w:type="dxa"/>
          </w:tcPr>
          <w:p>
            <w:pPr>
              <w:numPr>
                <w:ilvl w:val="0"/>
                <w:numId w:val="3"/>
              </w:numPr>
              <w:tabs>
                <w:tab w:val="left" w:pos="0"/>
              </w:tabs>
              <w:autoSpaceDE w:val="0"/>
              <w:snapToGrid w:val="0"/>
              <w:rPr>
                <w:rFonts w:cs="Arial"/>
                <w:szCs w:val="22"/>
              </w:rPr>
            </w:pPr>
            <w:r>
              <w:rPr>
                <w:rFonts w:cs="Arial"/>
                <w:szCs w:val="22"/>
              </w:rPr>
              <w:t>Média das Remunerações</w:t>
            </w:r>
          </w:p>
        </w:tc>
        <w:tc>
          <w:tcPr>
            <w:tcW w:w="1559" w:type="dxa"/>
            <w:gridSpan w:val="2"/>
          </w:tcPr>
          <w:p>
            <w:pPr>
              <w:autoSpaceDE w:val="0"/>
              <w:snapToGrid w:val="0"/>
              <w:jc w:val="right"/>
              <w:rPr>
                <w:rFonts w:cs="Arial"/>
                <w:szCs w:val="22"/>
              </w:rPr>
            </w:pPr>
            <w:r>
              <w:rPr>
                <w:rFonts w:cs="Arial"/>
                <w:szCs w:val="22"/>
              </w:rPr>
              <w:t>7</w:t>
            </w:r>
          </w:p>
        </w:tc>
        <w:tc>
          <w:tcPr>
            <w:tcW w:w="1602" w:type="dxa"/>
            <w:gridSpan w:val="2"/>
          </w:tcPr>
          <w:p>
            <w:pPr>
              <w:autoSpaceDE w:val="0"/>
              <w:snapToGrid w:val="0"/>
              <w:jc w:val="right"/>
              <w:rPr>
                <w:rFonts w:cs="Arial"/>
                <w:szCs w:val="22"/>
              </w:rPr>
            </w:pPr>
            <w:r>
              <w:rPr>
                <w:rFonts w:cs="Arial"/>
                <w:szCs w:val="22"/>
              </w:rPr>
              <w:t>8</w:t>
            </w:r>
          </w:p>
        </w:tc>
      </w:tr>
      <w:tr>
        <w:trPr>
          <w:trHeight w:val="240"/>
        </w:trPr>
        <w:tc>
          <w:tcPr>
            <w:tcW w:w="6575" w:type="dxa"/>
          </w:tcPr>
          <w:p>
            <w:pPr>
              <w:autoSpaceDE w:val="0"/>
              <w:snapToGrid w:val="0"/>
              <w:rPr>
                <w:rFonts w:cs="Arial"/>
                <w:szCs w:val="22"/>
              </w:rPr>
            </w:pPr>
          </w:p>
          <w:p>
            <w:pPr>
              <w:autoSpaceDE w:val="0"/>
              <w:snapToGrid w:val="0"/>
              <w:rPr>
                <w:rFonts w:cs="Arial"/>
                <w:szCs w:val="22"/>
              </w:rPr>
            </w:pPr>
          </w:p>
        </w:tc>
        <w:tc>
          <w:tcPr>
            <w:tcW w:w="1559" w:type="dxa"/>
            <w:gridSpan w:val="2"/>
          </w:tcPr>
          <w:p>
            <w:pPr>
              <w:autoSpaceDE w:val="0"/>
              <w:snapToGrid w:val="0"/>
              <w:jc w:val="right"/>
              <w:rPr>
                <w:rFonts w:cs="Arial"/>
                <w:szCs w:val="22"/>
                <w:highlight w:val="yellow"/>
              </w:rPr>
            </w:pPr>
          </w:p>
        </w:tc>
        <w:tc>
          <w:tcPr>
            <w:tcW w:w="1602" w:type="dxa"/>
            <w:gridSpan w:val="2"/>
          </w:tcPr>
          <w:p>
            <w:pPr>
              <w:autoSpaceDE w:val="0"/>
              <w:snapToGrid w:val="0"/>
              <w:jc w:val="right"/>
              <w:rPr>
                <w:rFonts w:cs="Arial"/>
                <w:szCs w:val="22"/>
              </w:rPr>
            </w:pPr>
          </w:p>
        </w:tc>
      </w:tr>
      <w:tr>
        <w:trPr>
          <w:trHeight w:val="240"/>
        </w:trPr>
        <w:tc>
          <w:tcPr>
            <w:tcW w:w="6575" w:type="dxa"/>
          </w:tcPr>
          <w:p>
            <w:pPr>
              <w:autoSpaceDE w:val="0"/>
              <w:snapToGrid w:val="0"/>
              <w:rPr>
                <w:rFonts w:cs="Arial"/>
                <w:szCs w:val="22"/>
              </w:rPr>
            </w:pPr>
          </w:p>
        </w:tc>
        <w:tc>
          <w:tcPr>
            <w:tcW w:w="1559" w:type="dxa"/>
            <w:gridSpan w:val="2"/>
          </w:tcPr>
          <w:p>
            <w:pPr>
              <w:autoSpaceDE w:val="0"/>
              <w:snapToGrid w:val="0"/>
              <w:jc w:val="right"/>
              <w:rPr>
                <w:rFonts w:cs="Arial"/>
                <w:szCs w:val="22"/>
                <w:highlight w:val="yellow"/>
              </w:rPr>
            </w:pPr>
          </w:p>
        </w:tc>
        <w:tc>
          <w:tcPr>
            <w:tcW w:w="1602" w:type="dxa"/>
            <w:gridSpan w:val="2"/>
          </w:tcPr>
          <w:p>
            <w:pPr>
              <w:autoSpaceDE w:val="0"/>
              <w:snapToGrid w:val="0"/>
              <w:jc w:val="right"/>
              <w:rPr>
                <w:rFonts w:cs="Arial"/>
                <w:szCs w:val="22"/>
              </w:rPr>
            </w:pPr>
          </w:p>
        </w:tc>
      </w:tr>
      <w:tr>
        <w:trPr>
          <w:trHeight w:val="240"/>
        </w:trPr>
        <w:tc>
          <w:tcPr>
            <w:tcW w:w="6575" w:type="dxa"/>
          </w:tcPr>
          <w:p>
            <w:pPr>
              <w:autoSpaceDE w:val="0"/>
              <w:snapToGrid w:val="0"/>
              <w:rPr>
                <w:rFonts w:cs="Arial"/>
                <w:b/>
                <w:bCs/>
                <w:szCs w:val="22"/>
              </w:rPr>
            </w:pPr>
            <w:r>
              <w:rPr>
                <w:rFonts w:cs="Arial"/>
                <w:b/>
                <w:bCs/>
                <w:szCs w:val="22"/>
              </w:rPr>
              <w:t>Empregados</w:t>
            </w:r>
          </w:p>
        </w:tc>
        <w:tc>
          <w:tcPr>
            <w:tcW w:w="1559" w:type="dxa"/>
            <w:gridSpan w:val="2"/>
          </w:tcPr>
          <w:p>
            <w:pPr>
              <w:autoSpaceDE w:val="0"/>
              <w:snapToGrid w:val="0"/>
              <w:jc w:val="right"/>
              <w:rPr>
                <w:rFonts w:cs="Arial"/>
                <w:szCs w:val="22"/>
                <w:highlight w:val="yellow"/>
              </w:rPr>
            </w:pPr>
          </w:p>
        </w:tc>
        <w:tc>
          <w:tcPr>
            <w:tcW w:w="1602" w:type="dxa"/>
            <w:gridSpan w:val="2"/>
          </w:tcPr>
          <w:p>
            <w:pPr>
              <w:autoSpaceDE w:val="0"/>
              <w:snapToGrid w:val="0"/>
              <w:jc w:val="right"/>
              <w:rPr>
                <w:rFonts w:cs="Arial"/>
                <w:szCs w:val="22"/>
              </w:rPr>
            </w:pPr>
          </w:p>
        </w:tc>
      </w:tr>
      <w:tr>
        <w:trPr>
          <w:trHeight w:val="240"/>
        </w:trPr>
        <w:tc>
          <w:tcPr>
            <w:tcW w:w="6575" w:type="dxa"/>
          </w:tcPr>
          <w:p>
            <w:pPr>
              <w:numPr>
                <w:ilvl w:val="0"/>
                <w:numId w:val="3"/>
              </w:numPr>
              <w:tabs>
                <w:tab w:val="left" w:pos="0"/>
              </w:tabs>
              <w:autoSpaceDE w:val="0"/>
              <w:snapToGrid w:val="0"/>
              <w:rPr>
                <w:rFonts w:cs="Arial"/>
                <w:szCs w:val="22"/>
              </w:rPr>
            </w:pPr>
            <w:r>
              <w:rPr>
                <w:rFonts w:cs="Arial"/>
                <w:szCs w:val="22"/>
              </w:rPr>
              <w:t>Maior Remuneração</w:t>
            </w:r>
          </w:p>
        </w:tc>
        <w:tc>
          <w:tcPr>
            <w:tcW w:w="1559" w:type="dxa"/>
            <w:gridSpan w:val="2"/>
          </w:tcPr>
          <w:p>
            <w:pPr>
              <w:autoSpaceDE w:val="0"/>
              <w:snapToGrid w:val="0"/>
              <w:jc w:val="right"/>
              <w:rPr>
                <w:rFonts w:cs="Arial"/>
                <w:szCs w:val="22"/>
              </w:rPr>
            </w:pPr>
            <w:r>
              <w:rPr>
                <w:rFonts w:cs="Arial"/>
                <w:szCs w:val="22"/>
              </w:rPr>
              <w:t>24</w:t>
            </w:r>
          </w:p>
        </w:tc>
        <w:tc>
          <w:tcPr>
            <w:tcW w:w="1602" w:type="dxa"/>
            <w:gridSpan w:val="2"/>
          </w:tcPr>
          <w:p>
            <w:pPr>
              <w:autoSpaceDE w:val="0"/>
              <w:snapToGrid w:val="0"/>
              <w:jc w:val="right"/>
              <w:rPr>
                <w:rFonts w:cs="Arial"/>
                <w:szCs w:val="22"/>
              </w:rPr>
            </w:pPr>
            <w:r>
              <w:rPr>
                <w:rFonts w:cs="Arial"/>
                <w:szCs w:val="22"/>
              </w:rPr>
              <w:t>28</w:t>
            </w:r>
          </w:p>
        </w:tc>
      </w:tr>
      <w:tr>
        <w:trPr>
          <w:trHeight w:val="240"/>
        </w:trPr>
        <w:tc>
          <w:tcPr>
            <w:tcW w:w="6575" w:type="dxa"/>
          </w:tcPr>
          <w:p>
            <w:pPr>
              <w:numPr>
                <w:ilvl w:val="0"/>
                <w:numId w:val="3"/>
              </w:numPr>
              <w:tabs>
                <w:tab w:val="left" w:pos="0"/>
              </w:tabs>
              <w:autoSpaceDE w:val="0"/>
              <w:snapToGrid w:val="0"/>
              <w:rPr>
                <w:rFonts w:cs="Arial"/>
                <w:szCs w:val="22"/>
              </w:rPr>
            </w:pPr>
            <w:r>
              <w:rPr>
                <w:rFonts w:cs="Arial"/>
                <w:szCs w:val="22"/>
              </w:rPr>
              <w:t>Menor Remuneração</w:t>
            </w:r>
          </w:p>
        </w:tc>
        <w:tc>
          <w:tcPr>
            <w:tcW w:w="1559" w:type="dxa"/>
            <w:gridSpan w:val="2"/>
          </w:tcPr>
          <w:p>
            <w:pPr>
              <w:autoSpaceDE w:val="0"/>
              <w:snapToGrid w:val="0"/>
              <w:jc w:val="right"/>
              <w:rPr>
                <w:rFonts w:cs="Arial"/>
                <w:szCs w:val="22"/>
              </w:rPr>
            </w:pPr>
            <w:r>
              <w:rPr>
                <w:rFonts w:cs="Arial"/>
                <w:szCs w:val="22"/>
              </w:rPr>
              <w:t>2</w:t>
            </w:r>
          </w:p>
        </w:tc>
        <w:tc>
          <w:tcPr>
            <w:tcW w:w="1602" w:type="dxa"/>
            <w:gridSpan w:val="2"/>
          </w:tcPr>
          <w:p>
            <w:pPr>
              <w:autoSpaceDE w:val="0"/>
              <w:snapToGrid w:val="0"/>
              <w:jc w:val="right"/>
              <w:rPr>
                <w:rFonts w:cs="Arial"/>
                <w:szCs w:val="22"/>
              </w:rPr>
            </w:pPr>
            <w:r>
              <w:rPr>
                <w:rFonts w:cs="Arial"/>
                <w:szCs w:val="22"/>
              </w:rPr>
              <w:t>2</w:t>
            </w:r>
          </w:p>
        </w:tc>
      </w:tr>
      <w:tr>
        <w:trPr>
          <w:trHeight w:val="240"/>
        </w:trPr>
        <w:tc>
          <w:tcPr>
            <w:tcW w:w="6575" w:type="dxa"/>
          </w:tcPr>
          <w:p>
            <w:pPr>
              <w:numPr>
                <w:ilvl w:val="0"/>
                <w:numId w:val="3"/>
              </w:numPr>
              <w:tabs>
                <w:tab w:val="left" w:pos="0"/>
              </w:tabs>
              <w:autoSpaceDE w:val="0"/>
              <w:snapToGrid w:val="0"/>
              <w:rPr>
                <w:rFonts w:cs="Arial"/>
                <w:szCs w:val="22"/>
              </w:rPr>
            </w:pPr>
            <w:r>
              <w:rPr>
                <w:rFonts w:cs="Arial"/>
                <w:szCs w:val="22"/>
              </w:rPr>
              <w:t>Média das Remunerações</w:t>
            </w:r>
          </w:p>
          <w:p>
            <w:pPr>
              <w:autoSpaceDE w:val="0"/>
              <w:snapToGrid w:val="0"/>
              <w:rPr>
                <w:rFonts w:cs="Arial"/>
                <w:szCs w:val="22"/>
              </w:rPr>
            </w:pPr>
          </w:p>
        </w:tc>
        <w:tc>
          <w:tcPr>
            <w:tcW w:w="1559" w:type="dxa"/>
            <w:gridSpan w:val="2"/>
          </w:tcPr>
          <w:p>
            <w:pPr>
              <w:autoSpaceDE w:val="0"/>
              <w:snapToGrid w:val="0"/>
              <w:jc w:val="right"/>
              <w:rPr>
                <w:rFonts w:cs="Arial"/>
                <w:szCs w:val="22"/>
              </w:rPr>
            </w:pPr>
            <w:r>
              <w:rPr>
                <w:rFonts w:cs="Arial"/>
                <w:szCs w:val="22"/>
              </w:rPr>
              <w:t>7</w:t>
            </w:r>
          </w:p>
        </w:tc>
        <w:tc>
          <w:tcPr>
            <w:tcW w:w="1602" w:type="dxa"/>
            <w:gridSpan w:val="2"/>
          </w:tcPr>
          <w:p>
            <w:pPr>
              <w:autoSpaceDE w:val="0"/>
              <w:snapToGrid w:val="0"/>
              <w:jc w:val="right"/>
              <w:rPr>
                <w:rFonts w:cs="Arial"/>
                <w:szCs w:val="22"/>
              </w:rPr>
            </w:pPr>
            <w:r>
              <w:rPr>
                <w:rFonts w:cs="Arial"/>
                <w:szCs w:val="22"/>
              </w:rPr>
              <w:t>7</w:t>
            </w:r>
          </w:p>
        </w:tc>
      </w:tr>
    </w:tbl>
    <w:p>
      <w:bookmarkStart w:id="207" w:name="_27._INTEGRAÇÃO_DO"/>
      <w:bookmarkEnd w:id="207"/>
    </w:p>
    <w:p>
      <w:pPr>
        <w:pStyle w:val="Ttulo1"/>
        <w:rPr>
          <w:szCs w:val="22"/>
        </w:rPr>
      </w:pPr>
      <w:bookmarkStart w:id="208" w:name="_Toc41376187"/>
      <w:r>
        <w:rPr>
          <w:szCs w:val="22"/>
        </w:rPr>
        <w:t>27.</w:t>
      </w:r>
      <w:r>
        <w:rPr>
          <w:szCs w:val="22"/>
        </w:rPr>
        <w:tab/>
        <w:t>INTEGRAÇÃO DO BALANÇO CEAGESP AO DA UNIÃO - BGU</w:t>
      </w:r>
      <w:bookmarkEnd w:id="208"/>
    </w:p>
    <w:p>
      <w:pPr>
        <w:pStyle w:val="WW-Recuodecorpodetexto2"/>
      </w:pPr>
    </w:p>
    <w:p>
      <w:pPr>
        <w:ind w:firstLine="709"/>
        <w:rPr>
          <w:rFonts w:cs="Arial"/>
          <w:bCs/>
          <w:szCs w:val="22"/>
        </w:rPr>
      </w:pPr>
      <w:r>
        <w:rPr>
          <w:rFonts w:cs="Arial"/>
          <w:bCs/>
          <w:szCs w:val="22"/>
        </w:rPr>
        <w:t>O reconhecimento do patrimônio da CEAGESP é registrado no Balanço Geral da União - BGU, pelo valor dos investimentos da União.</w:t>
      </w:r>
    </w:p>
    <w:p>
      <w:pPr>
        <w:pStyle w:val="WW-Recuodecorpodetexto2"/>
      </w:pPr>
    </w:p>
    <w:p>
      <w:pPr>
        <w:pStyle w:val="WW-Recuodecorpodetexto2"/>
      </w:pPr>
    </w:p>
    <w:p>
      <w:pPr>
        <w:pStyle w:val="Ttulo1"/>
        <w:rPr>
          <w:szCs w:val="22"/>
        </w:rPr>
      </w:pPr>
      <w:bookmarkStart w:id="209" w:name="_28._SEGURO"/>
      <w:bookmarkStart w:id="210" w:name="_Toc41376188"/>
      <w:bookmarkEnd w:id="209"/>
      <w:r>
        <w:rPr>
          <w:szCs w:val="22"/>
        </w:rPr>
        <w:t>28.</w:t>
      </w:r>
      <w:r>
        <w:rPr>
          <w:szCs w:val="22"/>
        </w:rPr>
        <w:tab/>
        <w:t>SEGURO</w:t>
      </w:r>
      <w:bookmarkEnd w:id="210"/>
    </w:p>
    <w:p>
      <w:pPr>
        <w:rPr>
          <w:rFonts w:cs="Arial"/>
          <w:b/>
          <w:bCs/>
          <w:highlight w:val="yellow"/>
        </w:rPr>
      </w:pPr>
    </w:p>
    <w:p>
      <w:pPr>
        <w:ind w:firstLine="709"/>
        <w:rPr>
          <w:rFonts w:cs="Arial"/>
        </w:rPr>
      </w:pPr>
      <w:r>
        <w:rPr>
          <w:rFonts w:cs="Arial"/>
        </w:rPr>
        <w:t xml:space="preserve">Em 11 de setembro de 2019, a Companhia firmou contrato de prestação de serviços de seguros relativos a riscos nomeados, operacionais e responsabilidade </w:t>
      </w:r>
      <w:r>
        <w:rPr>
          <w:rFonts w:cs="Arial"/>
          <w:szCs w:val="22"/>
        </w:rPr>
        <w:t>civil</w:t>
      </w:r>
      <w:r>
        <w:rPr>
          <w:rFonts w:cs="Arial"/>
        </w:rPr>
        <w:t xml:space="preserve"> geral com vigência até 11 de setembro de 2020.</w:t>
      </w:r>
    </w:p>
    <w:p>
      <w:pPr>
        <w:rPr>
          <w:rFonts w:cs="Arial"/>
        </w:rPr>
      </w:pPr>
    </w:p>
    <w:p>
      <w:pPr>
        <w:ind w:firstLine="709"/>
        <w:rPr>
          <w:rFonts w:cs="Arial"/>
        </w:rPr>
      </w:pPr>
      <w:r>
        <w:rPr>
          <w:rFonts w:cs="Arial"/>
        </w:rPr>
        <w:t>A Companhia mantém contrato de cobertura de seguro de vida em grupo compulsório, facultativo e contributário com vigência até o mês de março de 2020.</w:t>
      </w:r>
    </w:p>
    <w:p>
      <w:pPr>
        <w:ind w:firstLine="709"/>
        <w:rPr>
          <w:rFonts w:cs="Arial"/>
        </w:rPr>
      </w:pPr>
    </w:p>
    <w:p>
      <w:pPr>
        <w:rPr>
          <w:rFonts w:cs="Arial"/>
          <w:b/>
          <w:bCs/>
        </w:rPr>
      </w:pPr>
    </w:p>
    <w:p>
      <w:pPr>
        <w:pStyle w:val="Ttulo1"/>
        <w:rPr>
          <w:szCs w:val="22"/>
        </w:rPr>
      </w:pPr>
      <w:bookmarkStart w:id="211" w:name="_28._RESPONSABILIDADES_SOBRE"/>
      <w:bookmarkStart w:id="212" w:name="_29._RESPONSABILIDADES_SOBRE"/>
      <w:bookmarkStart w:id="213" w:name="_Toc41376189"/>
      <w:bookmarkEnd w:id="211"/>
      <w:bookmarkEnd w:id="212"/>
      <w:r>
        <w:rPr>
          <w:szCs w:val="22"/>
        </w:rPr>
        <w:t>29.</w:t>
      </w:r>
      <w:r>
        <w:rPr>
          <w:szCs w:val="22"/>
        </w:rPr>
        <w:tab/>
        <w:t>RESPONSABILIDADES SOBRE DEPÓSITOS EM GARANTIAS</w:t>
      </w:r>
      <w:bookmarkEnd w:id="213"/>
    </w:p>
    <w:p>
      <w:pPr>
        <w:pStyle w:val="WW-Recuodecorpodetexto2"/>
      </w:pPr>
    </w:p>
    <w:p>
      <w:pPr>
        <w:ind w:firstLine="709"/>
        <w:rPr>
          <w:rFonts w:cs="Arial"/>
          <w:szCs w:val="22"/>
        </w:rPr>
      </w:pPr>
      <w:r>
        <w:rPr>
          <w:rFonts w:cs="Arial"/>
          <w:szCs w:val="22"/>
        </w:rPr>
        <w:t>As mercadorias depositadas nos armazéns gerais podem ser negociadas através de títulos de crédito (Warrant e Conhecimento de Depósito) representativos destas, de acordo com o previsto no Decreto nº 1.102, de 21 de novembro de 1.903.</w:t>
      </w:r>
    </w:p>
    <w:p>
      <w:pPr>
        <w:pStyle w:val="WW-Recuodecorpodetexto2"/>
      </w:pPr>
    </w:p>
    <w:p>
      <w:pPr>
        <w:pStyle w:val="WW-Recuodecorpodetexto2"/>
      </w:pPr>
    </w:p>
    <w:p>
      <w:pPr>
        <w:pStyle w:val="Ttulo1"/>
        <w:rPr>
          <w:rStyle w:val="Forte"/>
          <w:szCs w:val="22"/>
        </w:rPr>
      </w:pPr>
      <w:bookmarkStart w:id="214" w:name="_30._IMPOSTO_DE"/>
      <w:bookmarkStart w:id="215" w:name="_Toc41376190"/>
      <w:bookmarkEnd w:id="214"/>
      <w:r>
        <w:rPr>
          <w:szCs w:val="22"/>
        </w:rPr>
        <w:t>30.</w:t>
      </w:r>
      <w:r>
        <w:rPr>
          <w:szCs w:val="22"/>
        </w:rPr>
        <w:tab/>
        <w:t>IMPOSTO DE RENDA E CONTRIBUIÇÃO SOCIAL SOBRE O LUCRO</w:t>
      </w:r>
      <w:bookmarkEnd w:id="215"/>
    </w:p>
    <w:p>
      <w:pPr>
        <w:rPr>
          <w:rFonts w:cs="Arial"/>
          <w:b/>
          <w:highlight w:val="yellow"/>
        </w:rPr>
      </w:pPr>
    </w:p>
    <w:p>
      <w:pPr>
        <w:ind w:firstLine="709"/>
        <w:rPr>
          <w:rFonts w:cs="Arial"/>
          <w:szCs w:val="22"/>
        </w:rPr>
      </w:pPr>
      <w:r>
        <w:rPr>
          <w:rFonts w:cs="Arial"/>
          <w:szCs w:val="22"/>
        </w:rPr>
        <w:t>O imposto de renda e a contribuição social sobre o lucro líquido são calculados com base nas alíquotas vigentes nas datas dos balanços, sendo 15% para o Imposto de Renda, 10% de adicional federal e 9% para a Contribuição Social sobre o Lucro Líquido.  A composição da base de cálculo e dos saldos desses tributos é a seguinte:</w:t>
      </w: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p>
      <w:pPr>
        <w:ind w:firstLine="709"/>
        <w:rPr>
          <w:rFonts w:cs="Arial"/>
          <w:szCs w:val="22"/>
        </w:rPr>
      </w:pPr>
    </w:p>
    <w:tbl>
      <w:tblPr>
        <w:tblW w:w="9879" w:type="dxa"/>
        <w:tblCellMar>
          <w:left w:w="70" w:type="dxa"/>
          <w:right w:w="70" w:type="dxa"/>
        </w:tblCellMar>
        <w:tblLook w:val="04A0" w:firstRow="1" w:lastRow="0" w:firstColumn="1" w:lastColumn="0" w:noHBand="0" w:noVBand="1"/>
      </w:tblPr>
      <w:tblGrid>
        <w:gridCol w:w="4214"/>
        <w:gridCol w:w="1135"/>
        <w:gridCol w:w="157"/>
        <w:gridCol w:w="1138"/>
        <w:gridCol w:w="157"/>
        <w:gridCol w:w="1626"/>
        <w:gridCol w:w="157"/>
        <w:gridCol w:w="1138"/>
        <w:gridCol w:w="157"/>
      </w:tblGrid>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szCs w:val="24"/>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3078" w:type="dxa"/>
            <w:gridSpan w:val="4"/>
            <w:tcBorders>
              <w:top w:val="nil"/>
              <w:left w:val="nil"/>
              <w:bottom w:val="nil"/>
              <w:right w:val="nil"/>
            </w:tcBorders>
            <w:shd w:val="clear" w:color="auto" w:fill="auto"/>
            <w:noWrap/>
            <w:vAlign w:val="bottom"/>
            <w:hideMark/>
          </w:tcPr>
          <w:p>
            <w:pPr>
              <w:widowControl/>
              <w:suppressAutoHyphens w:val="0"/>
              <w:jc w:val="center"/>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2430" w:type="dxa"/>
            <w:gridSpan w:val="3"/>
            <w:tcBorders>
              <w:top w:val="nil"/>
              <w:left w:val="nil"/>
              <w:bottom w:val="single" w:sz="4" w:space="0" w:color="auto"/>
              <w:right w:val="nil"/>
            </w:tcBorders>
            <w:shd w:val="clear" w:color="auto" w:fill="auto"/>
            <w:noWrap/>
            <w:vAlign w:val="bottom"/>
            <w:hideMark/>
          </w:tcPr>
          <w:p>
            <w:pPr>
              <w:widowControl/>
              <w:suppressAutoHyphens w:val="0"/>
              <w:jc w:val="center"/>
              <w:rPr>
                <w:rFonts w:eastAsia="Times New Roman" w:cs="Arial"/>
                <w:b/>
                <w:bCs/>
                <w:sz w:val="20"/>
                <w:lang w:eastAsia="pt-BR"/>
              </w:rPr>
            </w:pPr>
            <w:r>
              <w:rPr>
                <w:rFonts w:eastAsia="Times New Roman" w:cs="Arial"/>
                <w:b/>
                <w:bCs/>
                <w:sz w:val="20"/>
                <w:lang w:eastAsia="pt-BR"/>
              </w:rPr>
              <w:t>31.03.2020</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eastAsia="Times New Roman" w:cs="Arial"/>
                <w:b/>
                <w:bCs/>
                <w:sz w:val="20"/>
                <w:lang w:eastAsia="pt-BR"/>
              </w:rPr>
            </w:pPr>
          </w:p>
        </w:tc>
        <w:tc>
          <w:tcPr>
            <w:tcW w:w="2921" w:type="dxa"/>
            <w:gridSpan w:val="3"/>
            <w:tcBorders>
              <w:top w:val="nil"/>
              <w:left w:val="nil"/>
              <w:bottom w:val="single" w:sz="4" w:space="0" w:color="auto"/>
              <w:right w:val="nil"/>
            </w:tcBorders>
            <w:shd w:val="clear" w:color="auto" w:fill="auto"/>
            <w:noWrap/>
            <w:vAlign w:val="bottom"/>
            <w:hideMark/>
          </w:tcPr>
          <w:p>
            <w:pPr>
              <w:widowControl/>
              <w:suppressAutoHyphens w:val="0"/>
              <w:jc w:val="center"/>
              <w:rPr>
                <w:rFonts w:eastAsia="Times New Roman" w:cs="Arial"/>
                <w:b/>
                <w:bCs/>
                <w:sz w:val="20"/>
                <w:lang w:eastAsia="pt-BR"/>
              </w:rPr>
            </w:pPr>
            <w:r>
              <w:rPr>
                <w:rFonts w:eastAsia="Times New Roman" w:cs="Arial"/>
                <w:b/>
                <w:bCs/>
                <w:sz w:val="20"/>
                <w:lang w:eastAsia="pt-BR"/>
              </w:rPr>
              <w:t>31.03.2019</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eastAsia="Times New Roman"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E7E6E6" w:themeFill="background2"/>
            <w:noWrap/>
            <w:vAlign w:val="bottom"/>
            <w:hideMark/>
          </w:tcPr>
          <w:p>
            <w:pPr>
              <w:widowControl/>
              <w:suppressAutoHyphens w:val="0"/>
              <w:jc w:val="center"/>
              <w:rPr>
                <w:rFonts w:eastAsia="Times New Roman" w:cs="Arial"/>
                <w:b/>
                <w:bCs/>
                <w:sz w:val="20"/>
                <w:lang w:eastAsia="pt-BR"/>
              </w:rPr>
            </w:pPr>
            <w:r>
              <w:rPr>
                <w:rFonts w:eastAsia="Times New Roman" w:cs="Arial"/>
                <w:b/>
                <w:bCs/>
                <w:sz w:val="20"/>
                <w:lang w:eastAsia="pt-BR"/>
              </w:rPr>
              <w:t>CSLL</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eastAsia="Times New Roman" w:cs="Arial"/>
                <w:b/>
                <w:bCs/>
                <w:sz w:val="20"/>
                <w:lang w:eastAsia="pt-BR"/>
              </w:rPr>
            </w:pPr>
          </w:p>
        </w:tc>
        <w:tc>
          <w:tcPr>
            <w:tcW w:w="1138" w:type="dxa"/>
            <w:tcBorders>
              <w:top w:val="nil"/>
              <w:left w:val="nil"/>
              <w:bottom w:val="nil"/>
              <w:right w:val="nil"/>
            </w:tcBorders>
            <w:shd w:val="clear" w:color="auto" w:fill="E7E6E6" w:themeFill="background2"/>
            <w:noWrap/>
            <w:vAlign w:val="bottom"/>
            <w:hideMark/>
          </w:tcPr>
          <w:p>
            <w:pPr>
              <w:widowControl/>
              <w:suppressAutoHyphens w:val="0"/>
              <w:jc w:val="center"/>
              <w:rPr>
                <w:rFonts w:eastAsia="Times New Roman" w:cs="Arial"/>
                <w:b/>
                <w:bCs/>
                <w:sz w:val="20"/>
                <w:lang w:eastAsia="pt-BR"/>
              </w:rPr>
            </w:pPr>
            <w:r>
              <w:rPr>
                <w:rFonts w:eastAsia="Times New Roman" w:cs="Arial"/>
                <w:b/>
                <w:bCs/>
                <w:sz w:val="20"/>
                <w:lang w:eastAsia="pt-BR"/>
              </w:rPr>
              <w:t>IRPJ</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eastAsia="Times New Roman" w:cs="Arial"/>
                <w:b/>
                <w:bCs/>
                <w:sz w:val="20"/>
                <w:lang w:eastAsia="pt-BR"/>
              </w:rPr>
            </w:pPr>
          </w:p>
        </w:tc>
        <w:tc>
          <w:tcPr>
            <w:tcW w:w="1626" w:type="dxa"/>
            <w:tcBorders>
              <w:top w:val="nil"/>
              <w:left w:val="nil"/>
              <w:bottom w:val="nil"/>
              <w:right w:val="nil"/>
            </w:tcBorders>
            <w:shd w:val="clear" w:color="auto" w:fill="E7E6E6" w:themeFill="background2"/>
            <w:noWrap/>
            <w:vAlign w:val="bottom"/>
            <w:hideMark/>
          </w:tcPr>
          <w:p>
            <w:pPr>
              <w:widowControl/>
              <w:suppressAutoHyphens w:val="0"/>
              <w:jc w:val="center"/>
              <w:rPr>
                <w:rFonts w:eastAsia="Times New Roman" w:cs="Arial"/>
                <w:b/>
                <w:bCs/>
                <w:sz w:val="20"/>
                <w:lang w:eastAsia="pt-BR"/>
              </w:rPr>
            </w:pPr>
            <w:r>
              <w:rPr>
                <w:rFonts w:eastAsia="Times New Roman" w:cs="Arial"/>
                <w:b/>
                <w:bCs/>
                <w:sz w:val="20"/>
                <w:lang w:eastAsia="pt-BR"/>
              </w:rPr>
              <w:t>CSLL</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eastAsia="Times New Roman" w:cs="Arial"/>
                <w:b/>
                <w:bCs/>
                <w:sz w:val="20"/>
                <w:lang w:eastAsia="pt-BR"/>
              </w:rPr>
            </w:pPr>
          </w:p>
        </w:tc>
        <w:tc>
          <w:tcPr>
            <w:tcW w:w="1138" w:type="dxa"/>
            <w:tcBorders>
              <w:top w:val="nil"/>
              <w:left w:val="nil"/>
              <w:bottom w:val="nil"/>
              <w:right w:val="nil"/>
            </w:tcBorders>
            <w:shd w:val="clear" w:color="auto" w:fill="E7E6E6" w:themeFill="background2"/>
            <w:noWrap/>
            <w:vAlign w:val="bottom"/>
            <w:hideMark/>
          </w:tcPr>
          <w:p>
            <w:pPr>
              <w:widowControl/>
              <w:suppressAutoHyphens w:val="0"/>
              <w:jc w:val="center"/>
              <w:rPr>
                <w:rFonts w:eastAsia="Times New Roman" w:cs="Arial"/>
                <w:b/>
                <w:bCs/>
                <w:sz w:val="20"/>
                <w:lang w:eastAsia="pt-BR"/>
              </w:rPr>
            </w:pPr>
            <w:r>
              <w:rPr>
                <w:rFonts w:eastAsia="Times New Roman" w:cs="Arial"/>
                <w:b/>
                <w:bCs/>
                <w:sz w:val="20"/>
                <w:lang w:eastAsia="pt-BR"/>
              </w:rPr>
              <w:t>IRPJ</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eastAsia="Times New Roman"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r>
              <w:rPr>
                <w:rFonts w:eastAsia="Times New Roman" w:cs="Arial"/>
                <w:b/>
                <w:bCs/>
                <w:sz w:val="20"/>
                <w:lang w:eastAsia="pt-BR"/>
              </w:rPr>
              <w:t>Resultado antes dos Tributos sobre o Lucro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(5.917)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(5.917)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(5.726)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(5.726)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r>
              <w:rPr>
                <w:rFonts w:eastAsia="Times New Roman" w:cs="Arial"/>
                <w:b/>
                <w:bCs/>
                <w:sz w:val="20"/>
                <w:lang w:eastAsia="pt-BR"/>
              </w:rPr>
              <w:t>(+) Adições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114.306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113.791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114.663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114.077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r>
              <w:rPr>
                <w:rFonts w:eastAsia="Times New Roman" w:cs="Arial"/>
                <w:b/>
                <w:bCs/>
                <w:sz w:val="20"/>
                <w:lang w:eastAsia="pt-BR"/>
              </w:rPr>
              <w:t xml:space="preserve">Despesas </w:t>
            </w:r>
            <w:proofErr w:type="spellStart"/>
            <w:r>
              <w:rPr>
                <w:rFonts w:eastAsia="Times New Roman" w:cs="Arial"/>
                <w:b/>
                <w:bCs/>
                <w:sz w:val="20"/>
                <w:lang w:eastAsia="pt-BR"/>
              </w:rPr>
              <w:t>Indedutíveis</w:t>
            </w:r>
            <w:proofErr w:type="spellEnd"/>
            <w:r>
              <w:rPr>
                <w:rFonts w:eastAsia="Times New Roman" w:cs="Arial"/>
                <w:b/>
                <w:bCs/>
                <w:sz w:val="20"/>
                <w:lang w:eastAsia="pt-BR"/>
              </w:rPr>
              <w:t xml:space="preserve"> - Operacional</w:t>
            </w: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rPr>
                <w:rFonts w:eastAsia="Times New Roman" w:cs="Arial"/>
                <w:sz w:val="20"/>
                <w:lang w:eastAsia="pt-BR"/>
              </w:rPr>
            </w:pPr>
            <w:r>
              <w:rPr>
                <w:rFonts w:eastAsia="Times New Roman" w:cs="Arial"/>
                <w:sz w:val="20"/>
                <w:lang w:eastAsia="pt-BR"/>
              </w:rPr>
              <w:t>Avaliações do Imobilizado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142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142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142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142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rPr>
                <w:rFonts w:eastAsia="Times New Roman" w:cs="Arial"/>
                <w:sz w:val="20"/>
                <w:lang w:eastAsia="pt-BR"/>
              </w:rPr>
            </w:pPr>
            <w:r>
              <w:rPr>
                <w:rFonts w:eastAsia="Times New Roman" w:cs="Arial"/>
                <w:sz w:val="20"/>
                <w:lang w:eastAsia="pt-BR"/>
              </w:rPr>
              <w:t xml:space="preserve">Multas </w:t>
            </w:r>
            <w:proofErr w:type="spellStart"/>
            <w:r>
              <w:rPr>
                <w:rFonts w:eastAsia="Times New Roman" w:cs="Arial"/>
                <w:sz w:val="20"/>
                <w:lang w:eastAsia="pt-BR"/>
              </w:rPr>
              <w:t>Indedutíveis</w:t>
            </w:r>
            <w:proofErr w:type="spellEnd"/>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rPr>
                <w:rFonts w:eastAsia="Times New Roman" w:cs="Arial"/>
                <w:sz w:val="20"/>
                <w:lang w:eastAsia="pt-BR"/>
              </w:rPr>
            </w:pPr>
            <w:r>
              <w:rPr>
                <w:rFonts w:eastAsia="Times New Roman" w:cs="Arial"/>
                <w:sz w:val="20"/>
                <w:lang w:eastAsia="pt-BR"/>
              </w:rPr>
              <w:t>Licença Maternidade – Prorrogação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22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22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rPr>
                <w:rFonts w:eastAsia="Times New Roman" w:cs="Arial"/>
                <w:sz w:val="20"/>
                <w:lang w:eastAsia="pt-BR"/>
              </w:rPr>
            </w:pPr>
            <w:r>
              <w:rPr>
                <w:rFonts w:eastAsia="Times New Roman" w:cs="Arial"/>
                <w:sz w:val="20"/>
                <w:lang w:eastAsia="pt-BR"/>
              </w:rPr>
              <w:t xml:space="preserve">Contribuição Associação Classe - </w:t>
            </w:r>
            <w:proofErr w:type="spellStart"/>
            <w:r>
              <w:rPr>
                <w:rFonts w:eastAsia="Times New Roman" w:cs="Arial"/>
                <w:sz w:val="20"/>
                <w:lang w:eastAsia="pt-BR"/>
              </w:rPr>
              <w:t>Indedutível</w:t>
            </w:r>
            <w:proofErr w:type="spellEnd"/>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78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78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82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82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tcPr>
          <w:p>
            <w:pPr>
              <w:widowControl/>
              <w:suppressAutoHyphens w:val="0"/>
              <w:rPr>
                <w:rFonts w:eastAsia="Times New Roman" w:cs="Arial"/>
                <w:sz w:val="20"/>
                <w:lang w:eastAsia="pt-BR"/>
              </w:rPr>
            </w:pPr>
            <w:r>
              <w:rPr>
                <w:rFonts w:eastAsia="Times New Roman" w:cs="Arial"/>
                <w:sz w:val="20"/>
                <w:lang w:eastAsia="pt-BR"/>
              </w:rPr>
              <w:t>Brindes</w:t>
            </w:r>
          </w:p>
        </w:tc>
        <w:tc>
          <w:tcPr>
            <w:tcW w:w="1135"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2</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2</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rPr>
                <w:rFonts w:eastAsia="Times New Roman" w:cs="Arial"/>
                <w:sz w:val="20"/>
                <w:lang w:eastAsia="pt-BR"/>
              </w:rPr>
            </w:pPr>
            <w:r>
              <w:rPr>
                <w:rFonts w:eastAsia="Times New Roman" w:cs="Arial"/>
                <w:sz w:val="20"/>
                <w:lang w:eastAsia="pt-BR"/>
              </w:rPr>
              <w:t>Provisões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113.549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113.549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113.849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113.849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482"/>
        </w:trPr>
        <w:tc>
          <w:tcPr>
            <w:tcW w:w="4214" w:type="dxa"/>
            <w:tcBorders>
              <w:top w:val="nil"/>
              <w:left w:val="nil"/>
              <w:bottom w:val="nil"/>
              <w:right w:val="nil"/>
            </w:tcBorders>
            <w:shd w:val="clear" w:color="auto" w:fill="auto"/>
            <w:hideMark/>
          </w:tcPr>
          <w:p>
            <w:pPr>
              <w:widowControl/>
              <w:suppressAutoHyphens w:val="0"/>
              <w:rPr>
                <w:rFonts w:eastAsia="Times New Roman" w:cs="Arial"/>
                <w:sz w:val="20"/>
                <w:lang w:eastAsia="pt-BR"/>
              </w:rPr>
            </w:pPr>
            <w:r>
              <w:rPr>
                <w:rFonts w:eastAsia="Times New Roman" w:cs="Arial"/>
                <w:sz w:val="20"/>
                <w:lang w:eastAsia="pt-BR"/>
              </w:rPr>
              <w:t>Encargos de Deprec., Amortização, Exaustão e Baixa de Bens - Diferença CM IPC/BTNF (Lei nº 8.200/91 Art.3).</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515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586</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tcPr>
          <w:p>
            <w:pPr>
              <w:widowControl/>
              <w:suppressAutoHyphens w:val="0"/>
              <w:jc w:val="right"/>
              <w:rPr>
                <w:rFonts w:eastAsia="Times New Roman" w:cs="Arial"/>
                <w:b/>
                <w:bCs/>
                <w:sz w:val="20"/>
                <w:lang w:eastAsia="pt-BR"/>
              </w:rPr>
            </w:pP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eastAsia="Times New Roman" w:cs="Arial"/>
                <w:b/>
                <w:bCs/>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rPr>
                <w:rFonts w:eastAsia="Times New Roman" w:cs="Arial"/>
                <w:b/>
                <w:bCs/>
                <w:sz w:val="20"/>
                <w:lang w:eastAsia="pt-BR"/>
              </w:rPr>
            </w:pPr>
            <w:r>
              <w:rPr>
                <w:rFonts w:eastAsia="Times New Roman" w:cs="Arial"/>
                <w:b/>
                <w:bCs/>
                <w:sz w:val="20"/>
                <w:lang w:eastAsia="pt-BR"/>
              </w:rPr>
              <w:t>(-) Exclusões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(111.527)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(111.527)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(117.309)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(117.309)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r>
              <w:rPr>
                <w:rFonts w:eastAsia="Times New Roman" w:cs="Arial"/>
                <w:sz w:val="20"/>
                <w:lang w:eastAsia="pt-BR"/>
              </w:rPr>
              <w:t>(-) Reversão de Provisões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(110.359)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(110.359)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(112.005)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(112.005)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r>
              <w:rPr>
                <w:rFonts w:eastAsia="Times New Roman" w:cs="Arial"/>
                <w:sz w:val="20"/>
                <w:lang w:eastAsia="pt-BR"/>
              </w:rPr>
              <w:t>(-) Depreciação – Diferença contábil e fiscal</w:t>
            </w:r>
          </w:p>
        </w:tc>
        <w:tc>
          <w:tcPr>
            <w:tcW w:w="1135"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(1.168)</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(1.168)</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(5.304)</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r>
              <w:rPr>
                <w:rFonts w:eastAsia="Times New Roman" w:cs="Arial"/>
                <w:sz w:val="20"/>
                <w:lang w:eastAsia="pt-BR"/>
              </w:rPr>
              <w:t>(5.304)</w:t>
            </w:r>
          </w:p>
        </w:tc>
        <w:tc>
          <w:tcPr>
            <w:tcW w:w="157" w:type="dxa"/>
            <w:tcBorders>
              <w:top w:val="nil"/>
              <w:left w:val="nil"/>
              <w:bottom w:val="nil"/>
              <w:right w:val="nil"/>
            </w:tcBorders>
            <w:shd w:val="clear" w:color="auto" w:fill="auto"/>
            <w:noWrap/>
            <w:vAlign w:val="bottom"/>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r>
              <w:rPr>
                <w:rFonts w:eastAsia="Times New Roman" w:cs="Arial"/>
                <w:b/>
                <w:bCs/>
                <w:sz w:val="20"/>
                <w:lang w:eastAsia="pt-BR"/>
              </w:rPr>
              <w:t>Base de Cálculo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(3.138)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(3.653)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(8.372)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(8.958)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r>
              <w:rPr>
                <w:rFonts w:eastAsia="Times New Roman" w:cs="Arial"/>
                <w:sz w:val="20"/>
                <w:lang w:eastAsia="pt-BR"/>
              </w:rPr>
              <w:t>Compensação da Base Negativa</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r>
              <w:rPr>
                <w:rFonts w:eastAsia="Times New Roman" w:cs="Arial"/>
                <w:b/>
                <w:bCs/>
                <w:sz w:val="20"/>
                <w:lang w:eastAsia="pt-BR"/>
              </w:rPr>
              <w:t>Base de Cálculo do Período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(3.138)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(3.653)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(8.372)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(8.958)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r>
              <w:rPr>
                <w:rFonts w:eastAsia="Times New Roman" w:cs="Arial"/>
                <w:sz w:val="20"/>
                <w:lang w:eastAsia="pt-BR"/>
              </w:rPr>
              <w:t xml:space="preserve"> Imposto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r>
              <w:rPr>
                <w:rFonts w:eastAsia="Times New Roman" w:cs="Arial"/>
                <w:sz w:val="20"/>
                <w:lang w:eastAsia="pt-BR"/>
              </w:rPr>
              <w:t xml:space="preserve"> Adicional Federal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sz w:val="20"/>
                <w:lang w:eastAsia="pt-BR"/>
              </w:rPr>
            </w:pPr>
            <w:r>
              <w:rPr>
                <w:rFonts w:eastAsia="Times New Roman"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r>
              <w:rPr>
                <w:rFonts w:eastAsia="Times New Roman" w:cs="Arial"/>
                <w:b/>
                <w:bCs/>
                <w:sz w:val="20"/>
                <w:lang w:eastAsia="pt-BR"/>
              </w:rPr>
              <w:t xml:space="preserve"> Total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cs="Arial"/>
                <w:b/>
                <w:bCs/>
                <w:sz w:val="20"/>
                <w:lang w:eastAsia="pt-BR"/>
              </w:rPr>
            </w:pPr>
            <w:r>
              <w:rPr>
                <w:rFonts w:eastAsia="Times New Roman" w:cs="Arial"/>
                <w:b/>
                <w:bCs/>
                <w:sz w:val="20"/>
                <w:lang w:eastAsia="pt-BR"/>
              </w:rPr>
              <w:t>Alíquota Efetiva</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r>
              <w:rPr>
                <w:rFonts w:eastAsia="Times New Roman"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cs="Arial"/>
                <w:b/>
                <w:bCs/>
                <w:sz w:val="20"/>
                <w:lang w:eastAsia="pt-BR"/>
              </w:rPr>
            </w:pPr>
          </w:p>
        </w:tc>
      </w:tr>
    </w:tbl>
    <w:p>
      <w:pPr>
        <w:rPr>
          <w:rFonts w:cs="Arial"/>
          <w:b/>
          <w:highlight w:val="yellow"/>
        </w:rPr>
      </w:pPr>
    </w:p>
    <w:p>
      <w:pPr>
        <w:ind w:firstLine="709"/>
        <w:rPr>
          <w:rFonts w:cs="Arial"/>
          <w:szCs w:val="22"/>
        </w:rPr>
      </w:pPr>
      <w:r>
        <w:rPr>
          <w:rFonts w:cs="Arial"/>
          <w:szCs w:val="22"/>
        </w:rPr>
        <w:t xml:space="preserve">A Companhia possui saldos de prejuízos fiscais acumulados de R$ 442,852 milhões e base negativa de contribuição social de R$ 366,996 milhões. </w:t>
      </w:r>
      <w:r>
        <w:rPr>
          <w:rFonts w:eastAsia="Times New Roman" w:cs="Arial"/>
          <w:szCs w:val="22"/>
          <w:lang w:eastAsia="pt-BR"/>
        </w:rPr>
        <w:t xml:space="preserve">Esses não possuem prazo prescricional e são utilizados para compensação no limite legal de 30% do lucro tributável. Considerando os níveis históricos e projeções de lucros tributáveis, a Companhia não registra contabilmente os créditos de imposto de renda e contribuição social diferidos. </w:t>
      </w:r>
    </w:p>
    <w:p>
      <w:pPr>
        <w:pStyle w:val="WW-Recuodecorpodetexto2"/>
      </w:pPr>
    </w:p>
    <w:p>
      <w:pPr>
        <w:pStyle w:val="WW-Recuodecorpodetexto2"/>
      </w:pPr>
    </w:p>
    <w:p>
      <w:pPr>
        <w:pStyle w:val="Ttulo1"/>
      </w:pPr>
      <w:bookmarkStart w:id="216" w:name="_Toc41376191"/>
      <w:r>
        <w:t>31. PARTES RELACIONADAS</w:t>
      </w:r>
      <w:bookmarkEnd w:id="216"/>
    </w:p>
    <w:p/>
    <w:p>
      <w:pPr>
        <w:ind w:firstLine="709"/>
        <w:rPr>
          <w:rFonts w:cs="Arial"/>
          <w:szCs w:val="22"/>
        </w:rPr>
      </w:pPr>
      <w:r>
        <w:rPr>
          <w:rFonts w:cs="Arial"/>
          <w:szCs w:val="22"/>
        </w:rPr>
        <w:t>A Ceagesp possui Política de Transações com Partes Relacionadas, aprovada pelo Conselho de Administração em Reunião Ordinária nº 12/2019, realizada no dia 29 de novembro de 2019.</w:t>
      </w:r>
    </w:p>
    <w:p>
      <w:pPr>
        <w:ind w:firstLine="709"/>
      </w:pPr>
      <w:r>
        <w:rPr>
          <w:rFonts w:cs="Arial"/>
          <w:szCs w:val="22"/>
        </w:rPr>
        <w:t xml:space="preserve">As partes relacionadas referem-se aos acionistas, controladores ou não controladores, conforme nota explicativa nº </w:t>
      </w:r>
      <w:hyperlink w:anchor="_23._PATRIMÔNIO_LÍQUIDO_1" w:history="1">
        <w:r>
          <w:rPr>
            <w:rStyle w:val="Hyperlink"/>
            <w:rFonts w:cs="Arial"/>
            <w:szCs w:val="22"/>
          </w:rPr>
          <w:t>23</w:t>
        </w:r>
      </w:hyperlink>
      <w:r>
        <w:rPr>
          <w:rFonts w:cs="Arial"/>
          <w:szCs w:val="22"/>
        </w:rPr>
        <w:t>. Não houve transações com partes relacionadas no período abrangido por estas demonstrações intermediárias.</w:t>
      </w:r>
    </w:p>
    <w:p>
      <w:pPr>
        <w:pStyle w:val="WW-Recuodecorpodetexto2"/>
      </w:pPr>
    </w:p>
    <w:p>
      <w:pPr>
        <w:pStyle w:val="Ttulo3"/>
        <w:rPr>
          <w:rStyle w:val="Ttulo3Char"/>
          <w:b/>
        </w:rPr>
      </w:pPr>
      <w:bookmarkStart w:id="217" w:name="_Toc41376192"/>
      <w:r>
        <w:rPr>
          <w:rStyle w:val="Ttulo3Char"/>
          <w:b/>
        </w:rPr>
        <w:t>31.1. Entidade Controladora</w:t>
      </w:r>
      <w:bookmarkEnd w:id="217"/>
    </w:p>
    <w:p>
      <w:pPr>
        <w:ind w:firstLine="426"/>
        <w:rPr>
          <w:rFonts w:cs="Arial"/>
        </w:rPr>
      </w:pPr>
      <w:r>
        <w:rPr>
          <w:rFonts w:cs="Arial"/>
        </w:rPr>
        <w:t xml:space="preserve">A Ceagesp é constituída sob a forma de empresa pública e está vinculada ao Ministério da Economia, com 99,68% do capital social integralizado pela União, como se pode observar na nota explicativa nº </w:t>
      </w:r>
      <w:hyperlink w:anchor="_23._PATRIMÔNIO_LÍQUIDO_1" w:history="1">
        <w:r>
          <w:rPr>
            <w:rStyle w:val="Hyperlink"/>
            <w:rFonts w:cs="Arial"/>
          </w:rPr>
          <w:t>23</w:t>
        </w:r>
      </w:hyperlink>
      <w:r>
        <w:rPr>
          <w:rFonts w:cs="Arial"/>
        </w:rPr>
        <w:t>.</w:t>
      </w:r>
    </w:p>
    <w:p/>
    <w:p/>
    <w:p/>
    <w:p>
      <w:pPr>
        <w:pStyle w:val="Ttulo1"/>
        <w:rPr>
          <w:szCs w:val="22"/>
        </w:rPr>
      </w:pPr>
      <w:bookmarkStart w:id="218" w:name="_31._INSTRUMENTOS_FINANCEIROS"/>
      <w:bookmarkStart w:id="219" w:name="_Toc41376193"/>
      <w:bookmarkEnd w:id="218"/>
      <w:r>
        <w:rPr>
          <w:szCs w:val="22"/>
        </w:rPr>
        <w:t>32.</w:t>
      </w:r>
      <w:r>
        <w:rPr>
          <w:szCs w:val="22"/>
        </w:rPr>
        <w:tab/>
        <w:t>INSTRUMENTOS FINANCEIROS E GESTÃO DE RISCOS</w:t>
      </w:r>
      <w:bookmarkEnd w:id="219"/>
    </w:p>
    <w:p>
      <w:pPr>
        <w:pStyle w:val="WW-Recuodecorpodetexto2"/>
      </w:pPr>
    </w:p>
    <w:p>
      <w:pPr>
        <w:ind w:firstLine="709"/>
        <w:rPr>
          <w:rFonts w:cs="Arial"/>
        </w:rPr>
      </w:pPr>
      <w:r>
        <w:rPr>
          <w:rFonts w:cs="Arial"/>
        </w:rPr>
        <w:t>No período compreendido entre 31 de dezembro de 2019 e 31 de março de 2020, não ocorreram quaisquer operações no mercado de derivativos.</w:t>
      </w:r>
    </w:p>
    <w:p>
      <w:pPr>
        <w:rPr>
          <w:rFonts w:cs="Arial"/>
        </w:rPr>
      </w:pPr>
    </w:p>
    <w:p>
      <w:pPr>
        <w:ind w:firstLine="709"/>
        <w:rPr>
          <w:rFonts w:cs="Arial"/>
        </w:rPr>
      </w:pPr>
      <w:r>
        <w:rPr>
          <w:rFonts w:cs="Arial"/>
        </w:rPr>
        <w:t>Os principais instrumentos financeiros, de acordo com as práticas contábeis adotadas pela Companhia, estão reconhecidos nas seguintes rubricas (apresentados em notas explicativas destas demonstrações contábeis):</w:t>
      </w:r>
    </w:p>
    <w:p>
      <w:pPr>
        <w:ind w:firstLine="709"/>
        <w:rPr>
          <w:rFonts w:cs="Arial"/>
        </w:rPr>
      </w:pPr>
    </w:p>
    <w:p>
      <w:pPr>
        <w:ind w:firstLine="709"/>
        <w:rPr>
          <w:rFonts w:cs="Arial"/>
        </w:rPr>
      </w:pPr>
      <w:r>
        <w:rPr>
          <w:rFonts w:cs="Arial"/>
        </w:rPr>
        <w:t>a)  Caixa e equivalentes de caixa;</w:t>
      </w:r>
    </w:p>
    <w:p>
      <w:pPr>
        <w:ind w:firstLine="709"/>
        <w:rPr>
          <w:rFonts w:cs="Arial"/>
        </w:rPr>
      </w:pPr>
      <w:r>
        <w:rPr>
          <w:rFonts w:cs="Arial"/>
        </w:rPr>
        <w:t>b)</w:t>
      </w:r>
      <w:r>
        <w:rPr>
          <w:rFonts w:cs="Arial"/>
          <w:b/>
        </w:rPr>
        <w:t xml:space="preserve"> </w:t>
      </w:r>
      <w:r>
        <w:rPr>
          <w:rFonts w:cs="Arial"/>
        </w:rPr>
        <w:t xml:space="preserve"> Contas a receber;</w:t>
      </w:r>
    </w:p>
    <w:p>
      <w:pPr>
        <w:ind w:firstLine="709"/>
        <w:rPr>
          <w:rFonts w:cs="Arial"/>
        </w:rPr>
      </w:pPr>
      <w:r>
        <w:rPr>
          <w:rFonts w:cs="Arial"/>
        </w:rPr>
        <w:t>c)  Causas judiciais trabalhistas;</w:t>
      </w:r>
    </w:p>
    <w:p>
      <w:pPr>
        <w:ind w:firstLine="709"/>
        <w:rPr>
          <w:rFonts w:cs="Arial"/>
        </w:rPr>
      </w:pPr>
      <w:r>
        <w:rPr>
          <w:rFonts w:cs="Arial"/>
        </w:rPr>
        <w:t>d)</w:t>
      </w:r>
      <w:r>
        <w:rPr>
          <w:rFonts w:cs="Arial"/>
          <w:b/>
        </w:rPr>
        <w:t xml:space="preserve"> </w:t>
      </w:r>
      <w:r>
        <w:rPr>
          <w:rFonts w:cs="Arial"/>
        </w:rPr>
        <w:t xml:space="preserve"> Fornecedores;</w:t>
      </w:r>
    </w:p>
    <w:p>
      <w:pPr>
        <w:ind w:firstLine="709"/>
        <w:rPr>
          <w:rFonts w:cs="Arial"/>
        </w:rPr>
      </w:pPr>
      <w:r>
        <w:rPr>
          <w:rFonts w:cs="Arial"/>
        </w:rPr>
        <w:t>e)</w:t>
      </w:r>
      <w:r>
        <w:rPr>
          <w:rFonts w:cs="Arial"/>
          <w:b/>
        </w:rPr>
        <w:t xml:space="preserve"> </w:t>
      </w:r>
      <w:r>
        <w:rPr>
          <w:rFonts w:cs="Arial"/>
        </w:rPr>
        <w:t xml:space="preserve"> Obrigações fiscais a recolher;</w:t>
      </w:r>
    </w:p>
    <w:p>
      <w:pPr>
        <w:ind w:firstLine="709"/>
        <w:rPr>
          <w:rFonts w:cs="Arial"/>
        </w:rPr>
      </w:pPr>
      <w:r>
        <w:rPr>
          <w:rFonts w:cs="Arial"/>
        </w:rPr>
        <w:t>f)   Risco de liquidez.</w:t>
      </w:r>
    </w:p>
    <w:p>
      <w:pPr>
        <w:rPr>
          <w:rFonts w:cs="Arial"/>
        </w:rPr>
      </w:pPr>
    </w:p>
    <w:p>
      <w:pPr>
        <w:pStyle w:val="Ttulo2"/>
        <w:rPr>
          <w:rStyle w:val="Ttulo2Char"/>
          <w:b/>
        </w:rPr>
      </w:pPr>
      <w:bookmarkStart w:id="220" w:name="_Toc41376194"/>
      <w:r>
        <w:rPr>
          <w:rStyle w:val="Ttulo2Char"/>
          <w:b/>
        </w:rPr>
        <w:t>32.1 Gestão de Riscos</w:t>
      </w:r>
      <w:bookmarkEnd w:id="220"/>
    </w:p>
    <w:p/>
    <w:p>
      <w:pPr>
        <w:ind w:firstLine="435"/>
        <w:rPr>
          <w:rFonts w:cs="Arial"/>
        </w:rPr>
      </w:pPr>
      <w:r>
        <w:rPr>
          <w:rFonts w:cs="Arial"/>
        </w:rPr>
        <w:t xml:space="preserve">A Companhia possui exposição para riscos de créditos resultantes de instrumentos financeiros, que consiste no risco da Companhia incorrer em perdas em razão de um cliente ou uma contraparte do instrumento financeiro não cumprir com suas obrigações contratuais. </w:t>
      </w:r>
    </w:p>
    <w:p>
      <w:pPr>
        <w:rPr>
          <w:rFonts w:cs="Arial"/>
        </w:rPr>
      </w:pPr>
    </w:p>
    <w:p>
      <w:pPr>
        <w:ind w:firstLine="426"/>
        <w:rPr>
          <w:rFonts w:cs="Arial"/>
        </w:rPr>
      </w:pPr>
      <w:r>
        <w:rPr>
          <w:rFonts w:cs="Arial"/>
        </w:rPr>
        <w:t xml:space="preserve">O risco é basicamente proveniente de: Contas a receber de clientes; Causas judiciais trabalhistas e Risco de liquidez. As causas judiciais trabalhistas referem-se: </w:t>
      </w:r>
      <w:r>
        <w:rPr>
          <w:rFonts w:cs="Arial"/>
          <w:b/>
        </w:rPr>
        <w:t>a)</w:t>
      </w:r>
      <w:r>
        <w:rPr>
          <w:rFonts w:cs="Arial"/>
        </w:rPr>
        <w:t xml:space="preserve"> passivos trabalhistas de ações de licença prêmio, pensão, corrida de faixa e complementação de aposentadoria de ex-funcionários (vide nota explicativa nº </w:t>
      </w:r>
      <w:hyperlink w:anchor="_10._DEPÓSITOS_JUDICIAIS" w:history="1">
        <w:r>
          <w:rPr>
            <w:rStyle w:val="Hyperlink"/>
            <w:rFonts w:cs="Arial"/>
          </w:rPr>
          <w:t>10</w:t>
        </w:r>
      </w:hyperlink>
      <w:r>
        <w:rPr>
          <w:rFonts w:cs="Arial"/>
        </w:rPr>
        <w:t xml:space="preserve">); </w:t>
      </w:r>
      <w:r>
        <w:rPr>
          <w:rFonts w:cs="Arial"/>
          <w:b/>
        </w:rPr>
        <w:t>b)</w:t>
      </w:r>
      <w:r>
        <w:rPr>
          <w:rFonts w:cs="Arial"/>
        </w:rPr>
        <w:t xml:space="preserve"> ações de funcionários de empresas prestadoras de serviços terceirizados nas quais a Companhia possui responsabilidade subsidiária; e </w:t>
      </w:r>
      <w:r>
        <w:rPr>
          <w:rFonts w:cs="Arial"/>
          <w:b/>
        </w:rPr>
        <w:t>c)</w:t>
      </w:r>
      <w:r>
        <w:rPr>
          <w:rFonts w:cs="Arial"/>
        </w:rPr>
        <w:t xml:space="preserve"> ações trabalhistas de diversas matérias de funcionários e ex-funcionários da Ceagesp.</w:t>
      </w:r>
    </w:p>
    <w:p>
      <w:pPr>
        <w:rPr>
          <w:rFonts w:cs="Arial"/>
        </w:rPr>
      </w:pPr>
    </w:p>
    <w:p>
      <w:pPr>
        <w:rPr>
          <w:rFonts w:cs="Arial"/>
        </w:rPr>
      </w:pPr>
    </w:p>
    <w:p>
      <w:pPr>
        <w:pStyle w:val="Ttulo3"/>
        <w:rPr>
          <w:rStyle w:val="Ttulo3Char"/>
          <w:b/>
        </w:rPr>
      </w:pPr>
      <w:bookmarkStart w:id="221" w:name="_Toc41376195"/>
      <w:r>
        <w:rPr>
          <w:rStyle w:val="Ttulo3Char"/>
          <w:b/>
        </w:rPr>
        <w:t>32.1.1. Risco de liquidez</w:t>
      </w:r>
      <w:bookmarkEnd w:id="221"/>
    </w:p>
    <w:p/>
    <w:p>
      <w:pPr>
        <w:ind w:firstLine="426"/>
        <w:rPr>
          <w:rFonts w:cs="Arial"/>
        </w:rPr>
      </w:pPr>
      <w:r>
        <w:rPr>
          <w:rFonts w:cs="Arial"/>
        </w:rPr>
        <w:t>Os índices de liquidez medem a capacidade de pagamento da empresa. Demonstram o risco da Companhia de não conseguir obter recursos suficientes para cumprir com as obrigações relacionadas a seus passivos financeiros.</w:t>
      </w:r>
    </w:p>
    <w:p>
      <w:pPr>
        <w:rPr>
          <w:rFonts w:cs="Arial"/>
        </w:rPr>
      </w:pPr>
      <w:r>
        <w:rPr>
          <w:rFonts w:cs="Arial"/>
        </w:rPr>
        <w:t xml:space="preserve"> </w:t>
      </w:r>
    </w:p>
    <w:p>
      <w:pPr>
        <w:pStyle w:val="Ttulo4"/>
        <w:rPr>
          <w:rStyle w:val="Ttulo4Char"/>
          <w:b/>
        </w:rPr>
      </w:pPr>
      <w:r>
        <w:rPr>
          <w:rStyle w:val="Ttulo4Char"/>
          <w:b/>
        </w:rPr>
        <w:t>32.1.1.1. Índice de liquidez corrente</w:t>
      </w:r>
    </w:p>
    <w:p>
      <w:pPr>
        <w:ind w:firstLine="709"/>
        <w:rPr>
          <w:rFonts w:cs="Arial"/>
        </w:rPr>
      </w:pPr>
      <w:r>
        <w:rPr>
          <w:rFonts w:cs="Arial"/>
        </w:rPr>
        <w:t>A comparação entre os direitos realizáveis e as exigibilidades de curto prazo, aponta um índice de liquidez corrente de 0,60 em 31 de março de 2020 e de 0,44 em 31 de dezembro de 2019.</w:t>
      </w:r>
    </w:p>
    <w:p>
      <w:pPr>
        <w:rPr>
          <w:rFonts w:cs="Arial"/>
        </w:rPr>
      </w:pPr>
    </w:p>
    <w:p>
      <w:pPr>
        <w:pStyle w:val="Ttulo4"/>
        <w:rPr>
          <w:rStyle w:val="Ttulo4Char"/>
          <w:b/>
        </w:rPr>
      </w:pPr>
    </w:p>
    <w:p>
      <w:pPr>
        <w:pStyle w:val="Ttulo4"/>
        <w:rPr>
          <w:rStyle w:val="Ttulo4Char"/>
          <w:b/>
        </w:rPr>
      </w:pPr>
    </w:p>
    <w:p>
      <w:pPr>
        <w:pStyle w:val="Ttulo4"/>
        <w:rPr>
          <w:rStyle w:val="Ttulo4Char"/>
          <w:b/>
        </w:rPr>
      </w:pPr>
      <w:r>
        <w:rPr>
          <w:rStyle w:val="Ttulo4Char"/>
          <w:b/>
        </w:rPr>
        <w:t>32.1.1.2. Índice de liquidez geral</w:t>
      </w:r>
    </w:p>
    <w:p>
      <w:pPr>
        <w:ind w:firstLine="709"/>
        <w:rPr>
          <w:rFonts w:cs="Arial"/>
        </w:rPr>
      </w:pPr>
      <w:r>
        <w:rPr>
          <w:rFonts w:cs="Arial"/>
        </w:rPr>
        <w:t>Considera os direitos e as obrigações de curto e longo prazo. Em 31 de março de 2020 a Companhia apresentou índice de liquidez geral de 0,71 e em 31 de dezembro de 2019 registrou índice de 0,67.</w:t>
      </w:r>
    </w:p>
    <w:p>
      <w:pPr>
        <w:rPr>
          <w:rFonts w:cs="Arial"/>
        </w:rPr>
      </w:pPr>
    </w:p>
    <w:p>
      <w:pPr>
        <w:pStyle w:val="Ttulo4"/>
        <w:rPr>
          <w:rStyle w:val="Ttulo4Char"/>
          <w:b/>
        </w:rPr>
      </w:pPr>
      <w:r>
        <w:rPr>
          <w:rStyle w:val="Ttulo4Char"/>
          <w:b/>
        </w:rPr>
        <w:t>32.1.1.3. Índice de liquidez seca</w:t>
      </w:r>
    </w:p>
    <w:p>
      <w:pPr>
        <w:ind w:firstLine="709"/>
        <w:rPr>
          <w:rFonts w:cs="Arial"/>
        </w:rPr>
      </w:pPr>
      <w:r>
        <w:rPr>
          <w:rFonts w:cs="Arial"/>
        </w:rPr>
        <w:t>Similar à liquidez corrente, a liquidez seca não considera o saldo de estoques da Companhia. O índice calculado em 31 de março de 2020 foi de 0,59 enquanto que em 31 de dezembro de 2019 foi de 0,42.</w:t>
      </w:r>
    </w:p>
    <w:p>
      <w:pPr>
        <w:ind w:firstLine="709"/>
        <w:rPr>
          <w:rFonts w:cs="Arial"/>
        </w:rPr>
      </w:pPr>
    </w:p>
    <w:p>
      <w:pPr>
        <w:ind w:firstLine="709"/>
        <w:rPr>
          <w:rFonts w:cs="Arial"/>
        </w:rPr>
      </w:pPr>
      <w:r>
        <w:rPr>
          <w:rFonts w:cs="Arial"/>
        </w:rPr>
        <w:t xml:space="preserve">Com o objetivo de melhorar a liquidez, reforçando o caixa da Companhia, foram captados recursos financeiros através de empréstimos de curto prazo, conforme nota explicativa nº </w:t>
      </w:r>
      <w:hyperlink w:anchor="_21._EMPRÉSTIMOS_A" w:history="1">
        <w:r>
          <w:rPr>
            <w:rStyle w:val="Hyperlink"/>
            <w:rFonts w:cs="Arial"/>
          </w:rPr>
          <w:t>21</w:t>
        </w:r>
      </w:hyperlink>
      <w:r>
        <w:rPr>
          <w:rFonts w:cs="Arial"/>
        </w:rPr>
        <w:t>.</w:t>
      </w:r>
    </w:p>
    <w:p>
      <w:pPr>
        <w:rPr>
          <w:rFonts w:cs="Arial"/>
        </w:rPr>
      </w:pPr>
    </w:p>
    <w:p>
      <w:pPr>
        <w:widowControl/>
        <w:suppressAutoHyphens w:val="0"/>
        <w:ind w:firstLine="709"/>
        <w:rPr>
          <w:rFonts w:cs="Arial"/>
        </w:rPr>
      </w:pPr>
      <w:r>
        <w:rPr>
          <w:rFonts w:cs="Arial"/>
        </w:rPr>
        <w:t>A Ceagesp constituiu o Comitê de Gestão de Riscos durante o exercício de 2017.</w:t>
      </w:r>
    </w:p>
    <w:p>
      <w:pPr>
        <w:rPr>
          <w:rFonts w:cs="Arial"/>
        </w:rPr>
      </w:pPr>
    </w:p>
    <w:p>
      <w:pPr>
        <w:rPr>
          <w:rFonts w:cs="Arial"/>
        </w:rPr>
      </w:pPr>
    </w:p>
    <w:p>
      <w:pPr>
        <w:pStyle w:val="Ttulo1"/>
      </w:pPr>
      <w:bookmarkStart w:id="222" w:name="_Toc41376196"/>
      <w:r>
        <w:t>33. INCLUSÃO DA CEAGESP NO PND</w:t>
      </w:r>
      <w:bookmarkEnd w:id="222"/>
    </w:p>
    <w:p/>
    <w:p>
      <w:r>
        <w:tab/>
        <w:t>A Ceagesp foi qualificada no âmbito do Programa de Parcerias de Investimentos da Presidência da República - PPI e incluída no Programa Nacional de Desestatização - PND, conforme Decreto nº 10.045 de 4 de outubro de 2019, publicado em 7 de outubro de 2019.</w:t>
      </w:r>
    </w:p>
    <w:p/>
    <w:p>
      <w:pPr>
        <w:ind w:firstLine="709"/>
      </w:pPr>
      <w:r>
        <w:t>O Banco Nacional de Desenvolvimento – BNDES ficou designado como responsável pela execução e acompanhamento dos atos necessários à desestatização da Ceagesp, nos termos do § 1º do art. 6º da Lei Federal nº 9.491 de 9 de setembro de 1997.</w:t>
      </w:r>
    </w:p>
    <w:p>
      <w:pPr>
        <w:ind w:firstLine="709"/>
      </w:pPr>
    </w:p>
    <w:p>
      <w:pPr>
        <w:ind w:firstLine="709"/>
      </w:pPr>
      <w:r>
        <w:t>O FND é administrado pelo BNDES, designado Gestor do Fundo.</w:t>
      </w:r>
    </w:p>
    <w:p>
      <w:pPr>
        <w:ind w:firstLine="709"/>
      </w:pPr>
    </w:p>
    <w:p>
      <w:pPr>
        <w:ind w:firstLine="709"/>
      </w:pPr>
      <w:r>
        <w:t>Com a inclusão da Ceagesp no PND e em atendimento ao art. 10 da Lei Federal nº 9.491 de 9 de setembro de 1997, a Ceagesp realizou o registro de bloqueio das ações de propriedade da União no livro de escrituração e solicitou ao BNDES o registro das ações no FND, dentro do prazo legal de cinco dias contados da data da publicação do Decreto nº 10.045.</w:t>
      </w:r>
    </w:p>
    <w:p/>
    <w:p/>
    <w:p>
      <w:pPr>
        <w:pStyle w:val="Ttulo1"/>
      </w:pPr>
      <w:bookmarkStart w:id="223" w:name="_Toc41376197"/>
      <w:r>
        <w:t>34. IMPACTOS DA ENCHENTE E DA PANDEMIA DE COVID-19</w:t>
      </w:r>
      <w:bookmarkEnd w:id="223"/>
    </w:p>
    <w:p/>
    <w:p>
      <w:pPr>
        <w:ind w:firstLine="709"/>
      </w:pPr>
      <w:r>
        <w:t xml:space="preserve">Desde 31 de dezembro de 2019 até a data de encerramento destas demonstrações intermediárias, ocorreram 2 fatos relevantes que interferiram no fluxo financeiro da Companhia: o surto de </w:t>
      </w:r>
      <w:proofErr w:type="spellStart"/>
      <w:r>
        <w:t>coronavírus</w:t>
      </w:r>
      <w:proofErr w:type="spellEnd"/>
      <w:r>
        <w:t xml:space="preserve"> (COVID-19) e as fortes chuvas que ocorreram no dia 10 de fevereiro de 2020, causando enchente no ETSP.</w:t>
      </w:r>
    </w:p>
    <w:p>
      <w:pPr>
        <w:ind w:firstLine="709"/>
      </w:pPr>
    </w:p>
    <w:p>
      <w:pPr>
        <w:pStyle w:val="PargrafodaLista"/>
        <w:numPr>
          <w:ilvl w:val="0"/>
          <w:numId w:val="37"/>
        </w:numPr>
        <w:rPr>
          <w:rFonts w:cs="Arial"/>
        </w:rPr>
      </w:pPr>
      <w:r>
        <w:t xml:space="preserve">Impactos da enchente - Várias ações de desinfecção e sanitização foram realizadas no ETSP, pós baixa das águas da enchente. </w:t>
      </w:r>
      <w:r>
        <w:rPr>
          <w:rFonts w:cs="Arial"/>
        </w:rPr>
        <w:t xml:space="preserve">Foram disponibilizados no ETSP equipes de limpeza para lavação e caminhões de coleta para recolhimento de dejetos e esvaziamento de caçambas, com a finalidade de retirar das vias todo lixo acumulado e mercadorias impróprias para consumo. Ver nota explicativa nº </w:t>
      </w:r>
      <w:hyperlink w:anchor="_24.2.2._Custos_com" w:history="1">
        <w:r>
          <w:rPr>
            <w:rStyle w:val="Hyperlink"/>
            <w:rFonts w:cs="Arial"/>
          </w:rPr>
          <w:t>24.2.2</w:t>
        </w:r>
      </w:hyperlink>
      <w:r>
        <w:rPr>
          <w:rFonts w:cs="Arial"/>
        </w:rPr>
        <w:t>.</w:t>
      </w:r>
    </w:p>
    <w:p>
      <w:pPr>
        <w:pStyle w:val="PargrafodaLista"/>
        <w:numPr>
          <w:ilvl w:val="0"/>
          <w:numId w:val="37"/>
        </w:numPr>
      </w:pPr>
      <w:r>
        <w:lastRenderedPageBreak/>
        <w:t>Impactos da pandemia de COVID-19: A CEAGESP, principal responsável pelo abastecimento no estado de São Paulo, atividade essencial, não mediu esforços para que as atividades de comercialização e abastecimento de alimentos, permanecessem inalterados durante a pandemia de COVID-19.</w:t>
      </w:r>
    </w:p>
    <w:p>
      <w:pPr>
        <w:ind w:firstLine="709"/>
      </w:pPr>
    </w:p>
    <w:p>
      <w:pPr>
        <w:ind w:firstLine="709"/>
      </w:pPr>
      <w:r>
        <w:t xml:space="preserve">A Diretoria, de forma preventiva, procurando evitar a contaminação ou propagação do </w:t>
      </w:r>
      <w:proofErr w:type="spellStart"/>
      <w:r>
        <w:t>coronavírus</w:t>
      </w:r>
      <w:proofErr w:type="spellEnd"/>
      <w:r>
        <w:t xml:space="preserve"> e preocupada com a saúde dos seus colaboradores, principalmente do grupo de risco, iniciou o Plano de Contingência COVID-19, elaborado pelo Comitê de Crise da Ceagesp, a partir de 17 de março de 2020. O Comitê de Crise se reúne diariamente para avaliar as ações contra a propagação do novo </w:t>
      </w:r>
      <w:proofErr w:type="spellStart"/>
      <w:r>
        <w:t>coronavírus</w:t>
      </w:r>
      <w:proofErr w:type="spellEnd"/>
      <w:r>
        <w:t>.</w:t>
      </w:r>
    </w:p>
    <w:p>
      <w:pPr>
        <w:ind w:firstLine="709"/>
      </w:pPr>
    </w:p>
    <w:p>
      <w:pPr>
        <w:ind w:firstLine="709"/>
      </w:pPr>
      <w:r>
        <w:t>O Governo do Estado de São Paulo, através do Decreto nº 64.881, de 22 de março de 2020, decretou quarentena no Estado de São Paulo que ficou em vigor de 24 de março a 7 de abril de 2020. A quarentena foi estendida até dia 22 de abril de 2020, conforme Decreto nº 64.920, de 6 de abril de 2020. A 2ª prorrogação conforme Decreto nº 64.946, de 17 de abril de 2020, estendeu a quarentena até 10 de maio de 2020. A 3ª prorrogação conforme Decreto nº 64.967, de 8 de maio de 2020 estendeu a vigência até 31 de maio de 2020.</w:t>
      </w:r>
    </w:p>
    <w:p>
      <w:pPr>
        <w:ind w:firstLine="709"/>
      </w:pPr>
    </w:p>
    <w:p>
      <w:pPr>
        <w:ind w:firstLine="709"/>
      </w:pPr>
      <w:r>
        <w:t>Inúmeras medidas foram adotadas pela Companhia, considerando as orientações do Ministério da Saúde, Organização Mundial da Saúde, Governo Federal, Governo do Estado de São Paulo e da Prefeitura Municipal de São Paulo:</w:t>
      </w:r>
    </w:p>
    <w:p>
      <w:pPr>
        <w:ind w:firstLine="709"/>
        <w:rPr>
          <w:strike/>
        </w:rPr>
      </w:pPr>
    </w:p>
    <w:p>
      <w:pPr>
        <w:pStyle w:val="PargrafodaLista"/>
        <w:numPr>
          <w:ilvl w:val="0"/>
          <w:numId w:val="35"/>
        </w:numPr>
      </w:pPr>
      <w:r>
        <w:t>Todos os funcionários das áreas administrativas do ETSP passaram a realizar suas atividades em home office, reforçando para que os funcionários do grupo de risco de quaisquer áreas da Companhia permanecessem em casa;</w:t>
      </w:r>
    </w:p>
    <w:p>
      <w:pPr>
        <w:pStyle w:val="PargrafodaLista"/>
        <w:numPr>
          <w:ilvl w:val="0"/>
          <w:numId w:val="35"/>
        </w:numPr>
      </w:pPr>
      <w:r>
        <w:t xml:space="preserve">As atividades dos funcionários dos entrepostos do interior – </w:t>
      </w:r>
      <w:proofErr w:type="spellStart"/>
      <w:r>
        <w:t>Ceasas</w:t>
      </w:r>
      <w:proofErr w:type="spellEnd"/>
      <w:r>
        <w:t xml:space="preserve"> passaram a ser realizadas por home office;</w:t>
      </w:r>
    </w:p>
    <w:p>
      <w:pPr>
        <w:pStyle w:val="PargrafodaLista"/>
        <w:numPr>
          <w:ilvl w:val="0"/>
          <w:numId w:val="35"/>
        </w:numPr>
      </w:pPr>
      <w:r>
        <w:t>Atividades dos funcionários do Departamento de Armazenagem continuaram normalmente;</w:t>
      </w:r>
    </w:p>
    <w:p>
      <w:pPr>
        <w:pStyle w:val="PargrafodaLista"/>
        <w:numPr>
          <w:ilvl w:val="0"/>
          <w:numId w:val="35"/>
        </w:numPr>
      </w:pPr>
      <w:r>
        <w:t>Os funcionários dos setores considerados essenciais, tais como limpeza, portaria, fiscalização e segurança continuaram cumprindo a rotina normalmente, para que as atividades do ETSP não fossem prejudicadas, exceto os que faziam parte do grupo de risco (mais de 60 anos, diabéticos e portadores de doenças crônicas), casos em que deveriam ser tratados com a chefia imediata;</w:t>
      </w:r>
    </w:p>
    <w:p>
      <w:pPr>
        <w:pStyle w:val="PargrafodaLista"/>
        <w:numPr>
          <w:ilvl w:val="0"/>
          <w:numId w:val="35"/>
        </w:numPr>
      </w:pPr>
      <w:r>
        <w:t>Intensificação da limpeza e higienização do ETSP;</w:t>
      </w:r>
    </w:p>
    <w:p>
      <w:pPr>
        <w:pStyle w:val="PargrafodaLista"/>
        <w:numPr>
          <w:ilvl w:val="0"/>
          <w:numId w:val="35"/>
        </w:numPr>
      </w:pPr>
      <w:r>
        <w:t>Instalação de lavabos fixos e móveis em locais estratégicos para facilitar a higienização das mãos;</w:t>
      </w:r>
    </w:p>
    <w:p>
      <w:pPr>
        <w:pStyle w:val="PargrafodaLista"/>
        <w:numPr>
          <w:ilvl w:val="0"/>
          <w:numId w:val="35"/>
        </w:numPr>
      </w:pPr>
      <w:r>
        <w:t>Suspensão por tempo indeterminado de visitas monitoradas e gravações de qualquer natureza;</w:t>
      </w:r>
    </w:p>
    <w:p>
      <w:pPr>
        <w:pStyle w:val="PargrafodaLista"/>
        <w:numPr>
          <w:ilvl w:val="0"/>
          <w:numId w:val="35"/>
        </w:numPr>
      </w:pPr>
      <w:r>
        <w:t>Divulgação de informações sobre a COVID-19 seguindo orientações do Ministério da Saúde, por meio de cartazes e carros de som;</w:t>
      </w:r>
    </w:p>
    <w:p>
      <w:pPr>
        <w:pStyle w:val="PargrafodaLista"/>
        <w:numPr>
          <w:ilvl w:val="0"/>
          <w:numId w:val="35"/>
        </w:numPr>
      </w:pPr>
      <w:r>
        <w:t>Disponibilização de sabão líquido, água, papel e cartazes informativos em todos os sanitários internos e externos da Companhia;</w:t>
      </w:r>
    </w:p>
    <w:p>
      <w:pPr>
        <w:pStyle w:val="PargrafodaLista"/>
        <w:numPr>
          <w:ilvl w:val="0"/>
          <w:numId w:val="35"/>
        </w:numPr>
      </w:pPr>
      <w:r>
        <w:t>Disponibilização de álcool em gel em todas as recepções dos prédios administrativos da Ceagesp, em atendimento às recomendações emanadas do Ofício Circular SEI nº 825/2020 do Ministério da Economia;</w:t>
      </w:r>
    </w:p>
    <w:p>
      <w:pPr>
        <w:pStyle w:val="PargrafodaLista"/>
        <w:numPr>
          <w:ilvl w:val="0"/>
          <w:numId w:val="35"/>
        </w:numPr>
      </w:pPr>
      <w:r>
        <w:t>Ação de orientação nos entrepostos com profissionais da Seção de Segurança e Medicina do Trabalho, Bombeiro Civil e enfermeira;</w:t>
      </w:r>
    </w:p>
    <w:p>
      <w:pPr>
        <w:pStyle w:val="PargrafodaLista"/>
        <w:numPr>
          <w:ilvl w:val="0"/>
          <w:numId w:val="35"/>
        </w:numPr>
      </w:pPr>
      <w:r>
        <w:lastRenderedPageBreak/>
        <w:t>Entrega de kits às entidades representativas do ETSP com os materiais utilizados para divulgação da Campanha e envio aos permissionários através de e-mails;</w:t>
      </w:r>
    </w:p>
    <w:p>
      <w:pPr>
        <w:pStyle w:val="PargrafodaLista"/>
        <w:numPr>
          <w:ilvl w:val="0"/>
          <w:numId w:val="35"/>
        </w:numPr>
      </w:pPr>
      <w:r>
        <w:t>Envio de ofícios aos Ministérios da Saúde e da Economia e demais órgãos das esferas estaduais e municipais, apresentando as ações realizadas e solicitando atenção redobrada para que o abastecimento não fosse prejudicado;</w:t>
      </w:r>
    </w:p>
    <w:p>
      <w:pPr>
        <w:pStyle w:val="PargrafodaLista"/>
        <w:numPr>
          <w:ilvl w:val="0"/>
          <w:numId w:val="35"/>
        </w:numPr>
      </w:pPr>
      <w:r>
        <w:t xml:space="preserve">Aos comerciantes foi solicitada colaboração e parceria para que os permissionários fossem orientados a: a) intensificar as práticas de higiene no manuseio de alimentos e nos estabelecimentos, oferecendo álcool em gel; b) respeitar as orientações do Ministério da Saúde com relação às pessoas do grupo de risco; c) incentivar a venda pelo site, </w:t>
      </w:r>
      <w:proofErr w:type="spellStart"/>
      <w:r>
        <w:t>whatsapp</w:t>
      </w:r>
      <w:proofErr w:type="spellEnd"/>
      <w:r>
        <w:t xml:space="preserve">, telefone e e-mail para evitar aglomerações; d) atenção quanto às </w:t>
      </w:r>
      <w:proofErr w:type="spellStart"/>
      <w:r>
        <w:t>Fake</w:t>
      </w:r>
      <w:proofErr w:type="spellEnd"/>
      <w:r>
        <w:t xml:space="preserve"> News; e) orientação da COVISA a reforçarem as práticas de higienização dos produtos comercializados no ETSP para Segurança Alimentar;</w:t>
      </w:r>
    </w:p>
    <w:p>
      <w:pPr>
        <w:pStyle w:val="PargrafodaLista"/>
        <w:numPr>
          <w:ilvl w:val="0"/>
          <w:numId w:val="34"/>
        </w:numPr>
      </w:pPr>
      <w:r>
        <w:t>Proibiu o consumo local em bares, restaurantes, quiosques, lanchonetes, barracas de comidas e bebidas diversas, devendo ser realizado somente por delivery;</w:t>
      </w:r>
    </w:p>
    <w:p>
      <w:pPr>
        <w:pStyle w:val="PargrafodaLista"/>
        <w:numPr>
          <w:ilvl w:val="0"/>
          <w:numId w:val="34"/>
        </w:numPr>
      </w:pPr>
      <w:r>
        <w:t>As padarias e mini supermercados poderiam ter funcionamento normal somente para compras, sendo obrigatório controlar a quantidade de pessoas dentro dos estabelecimentos a fim de evitar aglomerações;</w:t>
      </w:r>
    </w:p>
    <w:p>
      <w:pPr>
        <w:pStyle w:val="PargrafodaLista"/>
        <w:numPr>
          <w:ilvl w:val="0"/>
          <w:numId w:val="34"/>
        </w:numPr>
      </w:pPr>
      <w:r>
        <w:t xml:space="preserve">Proibiu a circulação e comercialização de </w:t>
      </w:r>
      <w:proofErr w:type="spellStart"/>
      <w:r>
        <w:t>lancheiros</w:t>
      </w:r>
      <w:proofErr w:type="spellEnd"/>
      <w:r>
        <w:t xml:space="preserve"> e ambulantes;</w:t>
      </w:r>
    </w:p>
    <w:p>
      <w:pPr>
        <w:pStyle w:val="PargrafodaLista"/>
        <w:numPr>
          <w:ilvl w:val="0"/>
          <w:numId w:val="34"/>
        </w:numPr>
      </w:pPr>
      <w:r>
        <w:t>Restringiu a entrada de pessoas que não estivessem comprando, vendendo ou utilizando qualquer serviço da Ceagesp;</w:t>
      </w:r>
    </w:p>
    <w:p>
      <w:pPr>
        <w:pStyle w:val="PargrafodaLista"/>
        <w:numPr>
          <w:ilvl w:val="0"/>
          <w:numId w:val="34"/>
        </w:numPr>
      </w:pPr>
      <w:r>
        <w:t>Cancelou a tradicional Santa Feira do Peixe que ao longo dos 14 anos de existência, superou o número de visitantes e compradores durante a Semana Santa. A comercialização de pescados na semana de 07 a 10 de abril ficou restrita somente às madrugadas, da 1h às 5h, no Frigorífico de São Paulo – FRISP, portão 15. Na semana seguinte a comercialização retornou somente às terças, quintas e sábados, das 2h às 6h;</w:t>
      </w:r>
    </w:p>
    <w:p>
      <w:pPr>
        <w:pStyle w:val="PargrafodaLista"/>
        <w:numPr>
          <w:ilvl w:val="0"/>
          <w:numId w:val="34"/>
        </w:numPr>
      </w:pPr>
      <w:r>
        <w:t>A Feira de Flores teve suas atividades suspensas no início da quarentena, por tempo indeterminado, retornando no dia 20 de abril;</w:t>
      </w:r>
    </w:p>
    <w:p>
      <w:pPr>
        <w:pStyle w:val="PargrafodaLista"/>
        <w:numPr>
          <w:ilvl w:val="0"/>
          <w:numId w:val="34"/>
        </w:numPr>
      </w:pPr>
      <w:r>
        <w:t>Obrigatoriedade do uso de máscaras;</w:t>
      </w:r>
    </w:p>
    <w:p>
      <w:pPr>
        <w:pStyle w:val="PargrafodaLista"/>
        <w:numPr>
          <w:ilvl w:val="0"/>
          <w:numId w:val="34"/>
        </w:numPr>
      </w:pPr>
      <w:r>
        <w:t>Uso do álcool em gel e higienização das mãos no ETSP;</w:t>
      </w:r>
    </w:p>
    <w:p>
      <w:pPr>
        <w:pStyle w:val="PargrafodaLista"/>
        <w:numPr>
          <w:ilvl w:val="0"/>
          <w:numId w:val="34"/>
        </w:numPr>
      </w:pPr>
      <w:r>
        <w:t>Campanha de vacinação de gripe no ETSP, uma ação conjunta entre a Ceagesp e a Coordenadoria Oeste da Prefeitura de São Paulo.</w:t>
      </w:r>
    </w:p>
    <w:p/>
    <w:p>
      <w:pPr>
        <w:ind w:firstLine="709"/>
      </w:pPr>
      <w:r>
        <w:t>Além disso, houve:</w:t>
      </w:r>
    </w:p>
    <w:p/>
    <w:p>
      <w:pPr>
        <w:pStyle w:val="PargrafodaLista"/>
        <w:numPr>
          <w:ilvl w:val="0"/>
          <w:numId w:val="34"/>
        </w:numPr>
      </w:pPr>
      <w:r>
        <w:t>Intensificação das ações de conscientização e sensibilização junto aos comerciantes sobre a importância da doação de alimentos para o Banco Ceagesp de Alimentos – BCA. O objetivo é de aumentar o número de atendimentos, diante do cenário crítico em que nos encontramos.</w:t>
      </w:r>
    </w:p>
    <w:p>
      <w:pPr>
        <w:ind w:firstLine="709"/>
      </w:pPr>
    </w:p>
    <w:p>
      <w:pPr>
        <w:ind w:firstLine="709"/>
      </w:pPr>
      <w:r>
        <w:t>Com as restrições impostas em decorrência da COVID-19, houve uma mudança na comercialização no ETSP, concentrando-se nos dias de maior volume ofertado e diminuindo as vendas nos dias de menor oferta. Outra mudança diz respeito ao tipo de comprador e volumes adquiridos.  Com a diminuição do volume de compras por restaurantes, bares, hotéis, distribuidores, feirantes e outros segmentos afetados pelas restrições geradas pelo COVID-19, os supermercados, desde as grandes redes até os pequenos estabelecimentos localizados nos bairros, bem como as lojas de hortifrúti, aumentaram muito os volumes de compra.</w:t>
      </w:r>
    </w:p>
    <w:p>
      <w:pPr>
        <w:ind w:firstLine="709"/>
      </w:pPr>
    </w:p>
    <w:p>
      <w:pPr>
        <w:ind w:firstLine="709"/>
      </w:pPr>
      <w:r>
        <w:lastRenderedPageBreak/>
        <w:t>As frutas, legumes e diversos (batata, alho, cebola e ovos) continuam sendo os produtos mais procurados. Já as folhosas continuam registrando retração acentuada na demanda.</w:t>
      </w:r>
    </w:p>
    <w:p>
      <w:pPr>
        <w:ind w:firstLine="709"/>
      </w:pPr>
    </w:p>
    <w:p>
      <w:pPr>
        <w:ind w:firstLine="709"/>
      </w:pPr>
      <w:r>
        <w:t>Apesar da queda no volume de vendas e do número de compradores, principalmente nas terças e quintas, os atacadistas da Ceagesp continuam mantendo a oferta de hortifrútis constante, assegurando o abastecimento regular no ETSP.</w:t>
      </w:r>
    </w:p>
    <w:p>
      <w:pPr>
        <w:ind w:firstLine="709"/>
      </w:pPr>
    </w:p>
    <w:p>
      <w:pPr>
        <w:ind w:firstLine="709"/>
      </w:pPr>
      <w:r>
        <w:rPr>
          <w:b/>
        </w:rPr>
        <w:t>Varejões:</w:t>
      </w:r>
      <w:r>
        <w:t xml:space="preserve"> têm operado normalmente, apesar da queda no número de compradores. Por se assemelhar às feiras livres, as medidas impostas pela Prefeitura do Município de São Paulo são aplicadas e monitoradas. Foi criado um Guia de Recomendações para o funcionamento das Feiras Livres em parceria com a </w:t>
      </w:r>
      <w:proofErr w:type="spellStart"/>
      <w:r>
        <w:t>Faesp</w:t>
      </w:r>
      <w:proofErr w:type="spellEnd"/>
      <w:r>
        <w:t xml:space="preserve">, </w:t>
      </w:r>
      <w:proofErr w:type="spellStart"/>
      <w:r>
        <w:t>Senar</w:t>
      </w:r>
      <w:proofErr w:type="spellEnd"/>
      <w:r>
        <w:t xml:space="preserve"> AR/SP, Sebrae-SP, União Nacional dos Feirantes, Produtores e Comércio e Associação dos Feirantes Produtores e Comércio e todas as boas práticas de funcionamento nos Varejões da Ceagesp estão submetidas a ele. As informações foram disponibilizadas no Canal do Permissionário e a Cartilha foi entregue a todos os comerciantes.</w:t>
      </w:r>
    </w:p>
    <w:p>
      <w:pPr>
        <w:ind w:firstLine="709"/>
      </w:pPr>
    </w:p>
    <w:p>
      <w:pPr>
        <w:ind w:firstLine="709"/>
      </w:pPr>
      <w:r>
        <w:rPr>
          <w:b/>
        </w:rPr>
        <w:t>Setor de Flores:</w:t>
      </w:r>
      <w:r>
        <w:t xml:space="preserve"> a demanda caiu acentuadamente no setor uma vez que o consumo está diretamente ligado a eventos.</w:t>
      </w:r>
    </w:p>
    <w:p>
      <w:pPr>
        <w:ind w:firstLine="709"/>
      </w:pPr>
    </w:p>
    <w:p>
      <w:pPr>
        <w:ind w:firstLine="709"/>
      </w:pPr>
      <w:r>
        <w:rPr>
          <w:b/>
        </w:rPr>
        <w:t>Setor de Pescados:</w:t>
      </w:r>
      <w:r>
        <w:t xml:space="preserve"> Visando reduzir os riscos e também os custos de compradores e permissionários, a Ceagesp e a Associação dos comerciantes atacadistas de pescados do estado de São Paulo - </w:t>
      </w:r>
      <w:proofErr w:type="spellStart"/>
      <w:r>
        <w:t>Acapesp</w:t>
      </w:r>
      <w:proofErr w:type="spellEnd"/>
      <w:r>
        <w:t>, em comum acordo, reduziram os dias de comercialização no setor, restringindo somente às terças, quintas e sábados. Esta redução não afetou as vendas do setor.</w:t>
      </w:r>
    </w:p>
    <w:p>
      <w:pPr>
        <w:ind w:firstLine="709"/>
      </w:pPr>
    </w:p>
    <w:p>
      <w:pPr>
        <w:ind w:firstLine="709"/>
      </w:pPr>
      <w:r>
        <w:rPr>
          <w:b/>
        </w:rPr>
        <w:t>Banco Ceagesp de Alimentos:</w:t>
      </w:r>
      <w:r>
        <w:t xml:space="preserve"> Diante do aumento de pedidos emergenciais, o trabalho de conscientização dos comerciantes para doação de alimentos foi intensificado. No mês de abril atingiu a marca de 280 mil pessoas atendidas. Com a finalidade de orientar as entidades assistenciais que são beneficiadas, foi lançado um e-book sobre as Boas Práticas na Alimentação e disponibilizado gratuitamente no Banco Ceagesp de Alimentos.</w:t>
      </w:r>
    </w:p>
    <w:p>
      <w:pPr>
        <w:ind w:firstLine="709"/>
      </w:pPr>
    </w:p>
    <w:p>
      <w:pPr>
        <w:ind w:firstLine="709"/>
      </w:pPr>
      <w:r>
        <w:rPr>
          <w:b/>
        </w:rPr>
        <w:t>Índice de Preços:</w:t>
      </w:r>
      <w:r>
        <w:t xml:space="preserve"> Alguns produtos tiveram a demanda elevada em razão principalmente do aumento de compras de pequenos, médios e grandes redes de supermercados e das lojas de hortifrútis. Com o feriado de Páscoa, as vendas foram impulsionadas. Foi observado elevação de preços em produtos de grande relevância como tomate, batata, alho, cebola, mamão, laranja, limão, ovos, entre outros.</w:t>
      </w:r>
    </w:p>
    <w:p>
      <w:pPr>
        <w:ind w:firstLine="709"/>
      </w:pPr>
    </w:p>
    <w:p>
      <w:pPr>
        <w:ind w:firstLine="709"/>
      </w:pPr>
      <w:r>
        <w:t>Com a suspensão de atividades econômicas não essenciais determinada pelo Governo do Estado de São Paulo, conforme Decreto nº 64.881, de 22 de março de 2020, o setor de flores do ETSP teve suas atividades suspensas, o que representou queda considerável na entrada de recursos financeiros de aproximadamente R$ 1,9 milhão por mês.</w:t>
      </w:r>
    </w:p>
    <w:p>
      <w:pPr>
        <w:ind w:firstLine="709"/>
      </w:pPr>
    </w:p>
    <w:p>
      <w:pPr>
        <w:ind w:firstLine="709"/>
      </w:pPr>
    </w:p>
    <w:p>
      <w:pPr>
        <w:ind w:firstLine="709"/>
      </w:pPr>
      <w:r>
        <w:t xml:space="preserve">Diante da crise econômica mundial desencadeada pela pandemia provocada pelo </w:t>
      </w:r>
      <w:proofErr w:type="spellStart"/>
      <w:r>
        <w:t>coronavírus</w:t>
      </w:r>
      <w:proofErr w:type="spellEnd"/>
      <w:r>
        <w:t>, a Companhia realizou um estudo sobre a estimativa dos impactos que o surto de COVID-19 e as fortes chuvas causaram no fluxo de caixa.</w:t>
      </w:r>
    </w:p>
    <w:p>
      <w:pPr>
        <w:ind w:firstLine="709"/>
      </w:pPr>
    </w:p>
    <w:p>
      <w:pPr>
        <w:ind w:firstLine="709"/>
      </w:pPr>
      <w:r>
        <w:t>Os impactos provisionados no plano de contingências COVID-19 diz respeito somente ao ETSP, visto que os entrepostos e Unidades armazenadoras do interior permaneceram com as estimativas de entrada de recursos dentro do previsto.</w:t>
      </w:r>
    </w:p>
    <w:p>
      <w:pPr>
        <w:ind w:firstLine="709"/>
      </w:pPr>
      <w:r>
        <w:lastRenderedPageBreak/>
        <w:t>Estimativa de diminuição para os meses de abril a dezembro de 2020, de entradas de recursos no importe de R$ 33,5 milhões provocados por:</w:t>
      </w:r>
    </w:p>
    <w:p>
      <w:pPr>
        <w:pStyle w:val="PargrafodaLista"/>
        <w:numPr>
          <w:ilvl w:val="0"/>
          <w:numId w:val="32"/>
        </w:numPr>
      </w:pPr>
      <w:r>
        <w:t>Redução no valor do rateio do ETSP em R$ 12,2 milhões nos meses de maio, junho e julho e recuperação em 5 meses a partir de agosto e última parcela em dezembro;</w:t>
      </w:r>
    </w:p>
    <w:p>
      <w:pPr>
        <w:pStyle w:val="PargrafodaLista"/>
        <w:numPr>
          <w:ilvl w:val="0"/>
          <w:numId w:val="32"/>
        </w:numPr>
      </w:pPr>
      <w:r>
        <w:t>Previsão de aumento na inadimplência em torno de R$ 21,3 milhões, considerando-se que alguns setores tiveram suas atividades suspensas e outros tiveram redução na comercialização. A Companhia estima recuperação da entrada de recursos em R$ 16 milhões em 2020 e de R$ 5,3 milhões nos dois primeiros meses de 2021.</w:t>
      </w:r>
    </w:p>
    <w:p>
      <w:pPr>
        <w:pStyle w:val="PargrafodaLista"/>
        <w:numPr>
          <w:ilvl w:val="0"/>
          <w:numId w:val="32"/>
        </w:numPr>
      </w:pPr>
      <w:r>
        <w:t>Redução no rateio de despesas que somente serão repassadas aos permissionários quando a Companhia efetivamente desembolsar ou pagar as contas.</w:t>
      </w:r>
    </w:p>
    <w:p>
      <w:pPr>
        <w:ind w:firstLine="709"/>
      </w:pPr>
    </w:p>
    <w:p>
      <w:pPr>
        <w:ind w:firstLine="709"/>
      </w:pPr>
      <w:r>
        <w:t>Saída de recursos:</w:t>
      </w:r>
    </w:p>
    <w:p>
      <w:pPr>
        <w:ind w:firstLine="709"/>
      </w:pPr>
      <w:r>
        <w:t>Como medida de mitigar os efeitos econômicos da crise, estão sendo concedidos parcelamentos nos repasses de despesas, aos permissionários, das contas que a Companhia solicitou diferimento, suspensão e/ou parcelamentos perante órgãos públicos e concessionárias de serviços. A suspensão total de pagamentos de três meses no valor de R$ 18,950 milhões contempla:</w:t>
      </w:r>
    </w:p>
    <w:p>
      <w:pPr>
        <w:pStyle w:val="PargrafodaLista"/>
        <w:numPr>
          <w:ilvl w:val="0"/>
          <w:numId w:val="33"/>
        </w:numPr>
      </w:pPr>
      <w:r>
        <w:t>IPTU do ETSP de abril a julho de 2020 de R$ 7,7 milhões – A Companhia vai propor à Prefeitura Municipal de São Paulo o parcelamento a partir de janeiro de 2021.</w:t>
      </w:r>
    </w:p>
    <w:p>
      <w:pPr>
        <w:pStyle w:val="PargrafodaLista"/>
        <w:numPr>
          <w:ilvl w:val="0"/>
          <w:numId w:val="33"/>
        </w:numPr>
      </w:pPr>
      <w:r>
        <w:t>FGTS de abril a junho no valor de R$ 1,2 milhão – Parcelamento firmado em 6 vezes, contados a partir de julho de 2020, pela Medida Provisória nº 927/2020 e Circular CEF nº 897/20.</w:t>
      </w:r>
    </w:p>
    <w:p>
      <w:pPr>
        <w:pStyle w:val="PargrafodaLista"/>
        <w:numPr>
          <w:ilvl w:val="0"/>
          <w:numId w:val="33"/>
        </w:numPr>
      </w:pPr>
      <w:r>
        <w:t>INSS patronal abril e maio de 2020 no valor de R$ 2 milhões – Prorrogação concedida para agosto e outubro de 2020 conforme Portaria do Ministério da Economia nº 139, de 03/04/2020.</w:t>
      </w:r>
    </w:p>
    <w:p>
      <w:pPr>
        <w:pStyle w:val="PargrafodaLista"/>
        <w:numPr>
          <w:ilvl w:val="0"/>
          <w:numId w:val="33"/>
        </w:numPr>
      </w:pPr>
      <w:r>
        <w:t>PIS/COFINS de abril e maio de 2020 no valor de R$ 2 milhões – Prorrogação concedida para agosto e outubro de 2020 conforme Portaria do Ministério da Economia nº 139, de 03/04/2020.</w:t>
      </w:r>
    </w:p>
    <w:p>
      <w:pPr>
        <w:pStyle w:val="PargrafodaLista"/>
        <w:numPr>
          <w:ilvl w:val="0"/>
          <w:numId w:val="33"/>
        </w:numPr>
      </w:pPr>
      <w:r>
        <w:t>Custos com água de abril a junho de 2020 no valor de R$ 2 milhões – Parcelamento firmado em 6 vezes a partir de abril de 2020.</w:t>
      </w:r>
    </w:p>
    <w:p>
      <w:pPr>
        <w:ind w:firstLine="709"/>
      </w:pPr>
    </w:p>
    <w:p>
      <w:pPr>
        <w:rPr>
          <w:rFonts w:cs="Arial"/>
          <w:b/>
          <w:szCs w:val="22"/>
        </w:rPr>
      </w:pPr>
      <w:r>
        <w:tab/>
      </w:r>
    </w:p>
    <w:p>
      <w:pPr>
        <w:jc w:val="center"/>
        <w:rPr>
          <w:rFonts w:cs="Arial"/>
          <w:b/>
          <w:szCs w:val="22"/>
        </w:rPr>
      </w:pPr>
      <w:r>
        <w:rPr>
          <w:rFonts w:cs="Arial"/>
          <w:b/>
          <w:szCs w:val="22"/>
        </w:rPr>
        <w:t>CEAGESP - COMPANHIA DE ENTREPOSTOS E ARMAZÉNS GERAIS DE SÃO PAULO</w:t>
      </w:r>
    </w:p>
    <w:p>
      <w:pPr>
        <w:jc w:val="center"/>
        <w:rPr>
          <w:rFonts w:cs="Arial"/>
          <w:b/>
          <w:szCs w:val="24"/>
        </w:rPr>
      </w:pPr>
    </w:p>
    <w:p>
      <w:pPr>
        <w:pStyle w:val="Ttulo1"/>
        <w:jc w:val="center"/>
        <w:rPr>
          <w:rFonts w:cs="Arial"/>
        </w:rPr>
      </w:pPr>
      <w:bookmarkStart w:id="224" w:name="_Toc41376198"/>
      <w:r>
        <w:t>35. DIRIGENTES E CONTADORA</w:t>
      </w:r>
      <w:bookmarkEnd w:id="224"/>
    </w:p>
    <w:p>
      <w:pPr>
        <w:pStyle w:val="Recuodecorpodetexto2"/>
        <w:tabs>
          <w:tab w:val="clear" w:pos="851"/>
          <w:tab w:val="clear" w:pos="10915"/>
          <w:tab w:val="left" w:pos="3682"/>
        </w:tabs>
        <w:spacing w:line="240" w:lineRule="auto"/>
        <w:ind w:left="0"/>
      </w:pPr>
    </w:p>
    <w:tbl>
      <w:tblPr>
        <w:tblW w:w="0" w:type="auto"/>
        <w:tblLook w:val="04A0" w:firstRow="1" w:lastRow="0" w:firstColumn="1" w:lastColumn="0" w:noHBand="0" w:noVBand="1"/>
      </w:tblPr>
      <w:tblGrid>
        <w:gridCol w:w="4390"/>
        <w:gridCol w:w="4530"/>
      </w:tblGrid>
      <w:tr>
        <w:tc>
          <w:tcPr>
            <w:tcW w:w="4390" w:type="dxa"/>
            <w:vAlign w:val="center"/>
          </w:tcPr>
          <w:p>
            <w:pPr>
              <w:pStyle w:val="Recuodecorpodetexto2"/>
              <w:tabs>
                <w:tab w:val="clear" w:pos="851"/>
                <w:tab w:val="clear" w:pos="10915"/>
                <w:tab w:val="left" w:pos="3682"/>
              </w:tabs>
              <w:spacing w:line="240" w:lineRule="auto"/>
              <w:ind w:left="0"/>
              <w:jc w:val="center"/>
              <w:rPr>
                <w:bCs/>
              </w:rPr>
            </w:pPr>
          </w:p>
          <w:p>
            <w:pPr>
              <w:pStyle w:val="Recuodecorpodetexto2"/>
              <w:tabs>
                <w:tab w:val="clear" w:pos="851"/>
                <w:tab w:val="clear" w:pos="10915"/>
                <w:tab w:val="left" w:pos="3682"/>
              </w:tabs>
              <w:spacing w:line="240" w:lineRule="auto"/>
              <w:ind w:left="0" w:right="29"/>
              <w:jc w:val="center"/>
            </w:pPr>
            <w:r>
              <w:rPr>
                <w:bCs/>
              </w:rPr>
              <w:t>Adilson da Silva</w:t>
            </w:r>
          </w:p>
        </w:tc>
        <w:tc>
          <w:tcPr>
            <w:tcW w:w="4530" w:type="dxa"/>
            <w:vAlign w:val="bottom"/>
          </w:tcPr>
          <w:p>
            <w:pPr>
              <w:pStyle w:val="Recuodecorpodetexto2"/>
              <w:tabs>
                <w:tab w:val="clear" w:pos="851"/>
                <w:tab w:val="clear" w:pos="10915"/>
                <w:tab w:val="left" w:pos="3682"/>
              </w:tabs>
              <w:spacing w:line="240" w:lineRule="auto"/>
              <w:ind w:left="0"/>
              <w:jc w:val="center"/>
              <w:rPr>
                <w:bCs/>
              </w:rPr>
            </w:pPr>
          </w:p>
          <w:p>
            <w:pPr>
              <w:pStyle w:val="Recuodecorpodetexto2"/>
              <w:tabs>
                <w:tab w:val="clear" w:pos="851"/>
                <w:tab w:val="clear" w:pos="10915"/>
                <w:tab w:val="left" w:pos="3682"/>
              </w:tabs>
              <w:spacing w:line="240" w:lineRule="auto"/>
              <w:ind w:left="0"/>
              <w:jc w:val="center"/>
              <w:rPr>
                <w:bCs/>
              </w:rPr>
            </w:pPr>
            <w:r>
              <w:rPr>
                <w:bCs/>
              </w:rPr>
              <w:t>Carlos de Orleans Guimarães Sobrinho</w:t>
            </w:r>
          </w:p>
        </w:tc>
      </w:tr>
      <w:tr>
        <w:tc>
          <w:tcPr>
            <w:tcW w:w="4390" w:type="dxa"/>
          </w:tcPr>
          <w:p>
            <w:pPr>
              <w:pStyle w:val="Recuodecorpodetexto2"/>
              <w:tabs>
                <w:tab w:val="clear" w:pos="851"/>
                <w:tab w:val="clear" w:pos="10915"/>
                <w:tab w:val="left" w:pos="960"/>
                <w:tab w:val="center" w:pos="2087"/>
                <w:tab w:val="left" w:pos="3682"/>
              </w:tabs>
              <w:spacing w:line="240" w:lineRule="auto"/>
              <w:ind w:left="0"/>
              <w:jc w:val="center"/>
              <w:rPr>
                <w:b/>
              </w:rPr>
            </w:pPr>
            <w:r>
              <w:rPr>
                <w:b/>
              </w:rPr>
              <w:t>Diretor Presidente Interino</w:t>
            </w:r>
          </w:p>
        </w:tc>
        <w:tc>
          <w:tcPr>
            <w:tcW w:w="4530" w:type="dxa"/>
          </w:tcPr>
          <w:p>
            <w:pPr>
              <w:pStyle w:val="Recuodecorpodetexto2"/>
              <w:tabs>
                <w:tab w:val="clear" w:pos="851"/>
                <w:tab w:val="clear" w:pos="10915"/>
                <w:tab w:val="left" w:pos="3682"/>
              </w:tabs>
              <w:spacing w:line="240" w:lineRule="auto"/>
              <w:ind w:left="0"/>
              <w:jc w:val="center"/>
              <w:rPr>
                <w:b/>
              </w:rPr>
            </w:pPr>
            <w:r>
              <w:rPr>
                <w:b/>
              </w:rPr>
              <w:t>Diretor Técnico e Operacional</w:t>
            </w:r>
          </w:p>
        </w:tc>
      </w:tr>
    </w:tbl>
    <w:p>
      <w:pPr>
        <w:pStyle w:val="Recuodecorpodetexto2"/>
        <w:tabs>
          <w:tab w:val="clear" w:pos="851"/>
          <w:tab w:val="clear" w:pos="10915"/>
          <w:tab w:val="left" w:pos="3682"/>
        </w:tabs>
        <w:spacing w:line="240" w:lineRule="auto"/>
        <w:ind w:left="0"/>
      </w:pPr>
    </w:p>
    <w:p>
      <w:pPr>
        <w:pStyle w:val="Recuodecorpodetexto2"/>
        <w:tabs>
          <w:tab w:val="clear" w:pos="851"/>
          <w:tab w:val="clear" w:pos="10915"/>
          <w:tab w:val="left" w:pos="3682"/>
        </w:tabs>
        <w:spacing w:line="240" w:lineRule="auto"/>
        <w:ind w:left="0"/>
      </w:pPr>
    </w:p>
    <w:tbl>
      <w:tblPr>
        <w:tblW w:w="0" w:type="auto"/>
        <w:tblLook w:val="04A0" w:firstRow="1" w:lastRow="0" w:firstColumn="1" w:lastColumn="0" w:noHBand="0" w:noVBand="1"/>
      </w:tblPr>
      <w:tblGrid>
        <w:gridCol w:w="4390"/>
        <w:gridCol w:w="4530"/>
      </w:tblGrid>
      <w:tr>
        <w:tc>
          <w:tcPr>
            <w:tcW w:w="4390" w:type="dxa"/>
            <w:vAlign w:val="center"/>
          </w:tcPr>
          <w:p>
            <w:pPr>
              <w:pStyle w:val="Recuodecorpodetexto2"/>
              <w:tabs>
                <w:tab w:val="clear" w:pos="851"/>
                <w:tab w:val="clear" w:pos="10915"/>
                <w:tab w:val="left" w:pos="3682"/>
              </w:tabs>
              <w:spacing w:line="240" w:lineRule="auto"/>
              <w:ind w:left="0"/>
              <w:jc w:val="center"/>
              <w:rPr>
                <w:bCs/>
              </w:rPr>
            </w:pPr>
          </w:p>
          <w:p>
            <w:pPr>
              <w:pStyle w:val="Recuodecorpodetexto2"/>
              <w:tabs>
                <w:tab w:val="clear" w:pos="851"/>
                <w:tab w:val="clear" w:pos="10915"/>
                <w:tab w:val="left" w:pos="3682"/>
              </w:tabs>
              <w:spacing w:line="240" w:lineRule="auto"/>
              <w:ind w:left="0" w:right="29"/>
              <w:jc w:val="center"/>
            </w:pPr>
            <w:r>
              <w:rPr>
                <w:bCs/>
              </w:rPr>
              <w:t>Robson Frederico dos Santos</w:t>
            </w:r>
          </w:p>
        </w:tc>
        <w:tc>
          <w:tcPr>
            <w:tcW w:w="4530" w:type="dxa"/>
            <w:vAlign w:val="bottom"/>
          </w:tcPr>
          <w:p>
            <w:pPr>
              <w:pStyle w:val="Recuodecorpodetexto2"/>
              <w:tabs>
                <w:tab w:val="clear" w:pos="851"/>
                <w:tab w:val="clear" w:pos="10915"/>
                <w:tab w:val="left" w:pos="3682"/>
              </w:tabs>
              <w:spacing w:line="240" w:lineRule="auto"/>
              <w:ind w:left="0"/>
              <w:jc w:val="center"/>
              <w:rPr>
                <w:bCs/>
              </w:rPr>
            </w:pPr>
          </w:p>
          <w:p>
            <w:pPr>
              <w:pStyle w:val="Recuodecorpodetexto2"/>
              <w:tabs>
                <w:tab w:val="clear" w:pos="851"/>
                <w:tab w:val="clear" w:pos="10915"/>
                <w:tab w:val="left" w:pos="3682"/>
              </w:tabs>
              <w:spacing w:line="240" w:lineRule="auto"/>
              <w:ind w:left="0"/>
              <w:jc w:val="center"/>
              <w:rPr>
                <w:bCs/>
              </w:rPr>
            </w:pPr>
            <w:r>
              <w:rPr>
                <w:bCs/>
              </w:rPr>
              <w:t>Eliane Mayumi Tane</w:t>
            </w:r>
          </w:p>
        </w:tc>
      </w:tr>
      <w:tr>
        <w:tc>
          <w:tcPr>
            <w:tcW w:w="4390" w:type="dxa"/>
          </w:tcPr>
          <w:p>
            <w:pPr>
              <w:pStyle w:val="Recuodecorpodetexto2"/>
              <w:tabs>
                <w:tab w:val="clear" w:pos="851"/>
                <w:tab w:val="clear" w:pos="10915"/>
                <w:tab w:val="left" w:pos="3682"/>
              </w:tabs>
              <w:spacing w:line="240" w:lineRule="auto"/>
              <w:ind w:left="0"/>
              <w:jc w:val="center"/>
              <w:rPr>
                <w:b/>
              </w:rPr>
            </w:pPr>
            <w:r>
              <w:rPr>
                <w:b/>
              </w:rPr>
              <w:t>Gerente do Departamento Financeiro e Contábil</w:t>
            </w:r>
          </w:p>
        </w:tc>
        <w:tc>
          <w:tcPr>
            <w:tcW w:w="4530" w:type="dxa"/>
          </w:tcPr>
          <w:p>
            <w:pPr>
              <w:pStyle w:val="Recuodecorpodetexto2"/>
              <w:tabs>
                <w:tab w:val="clear" w:pos="851"/>
                <w:tab w:val="clear" w:pos="10915"/>
                <w:tab w:val="left" w:pos="3682"/>
              </w:tabs>
              <w:spacing w:line="240" w:lineRule="auto"/>
              <w:ind w:left="0"/>
              <w:jc w:val="center"/>
              <w:rPr>
                <w:b/>
              </w:rPr>
            </w:pPr>
            <w:r>
              <w:rPr>
                <w:rFonts w:eastAsia="Times New Roman"/>
                <w:b/>
                <w:lang w:eastAsia="pt-BR"/>
              </w:rPr>
              <w:t>Contadora CRC1SP 252476/O-7</w:t>
            </w:r>
          </w:p>
        </w:tc>
      </w:tr>
    </w:tbl>
    <w:p>
      <w:pPr>
        <w:pStyle w:val="Corpodetexto"/>
      </w:pPr>
      <w:bookmarkStart w:id="225" w:name="_Relatório_dos_auditores"/>
      <w:bookmarkEnd w:id="225"/>
    </w:p>
    <w:p>
      <w:pPr>
        <w:pStyle w:val="Cabealho"/>
        <w:tabs>
          <w:tab w:val="left" w:pos="708"/>
        </w:tabs>
        <w:rPr>
          <w:rFonts w:eastAsia="ArialMT"/>
          <w:szCs w:val="22"/>
        </w:rPr>
        <w:sectPr>
          <w:headerReference w:type="even" r:id="rId17"/>
          <w:headerReference w:type="default" r:id="rId18"/>
          <w:footerReference w:type="default" r:id="rId19"/>
          <w:headerReference w:type="first" r:id="rId20"/>
          <w:pgSz w:w="11906" w:h="16838"/>
          <w:pgMar w:top="2410" w:right="1134" w:bottom="2127" w:left="1134" w:header="964" w:footer="709" w:gutter="0"/>
          <w:cols w:space="708"/>
          <w:docGrid w:linePitch="360"/>
        </w:sectPr>
      </w:pPr>
    </w:p>
    <w:p>
      <w:pPr>
        <w:pStyle w:val="Ttulo2"/>
        <w:ind w:left="0"/>
        <w:rPr>
          <w:rFonts w:ascii="Times New Roman" w:hAnsi="Times New Roman" w:cs="Times New Roman"/>
          <w:w w:val="103"/>
          <w:sz w:val="24"/>
          <w:szCs w:val="24"/>
        </w:rPr>
      </w:pPr>
      <w:bookmarkStart w:id="226" w:name="_Toc41376199"/>
      <w:bookmarkStart w:id="227" w:name="_GoBack"/>
      <w:bookmarkEnd w:id="227"/>
      <w:r>
        <w:rPr>
          <w:rFonts w:ascii="Times New Roman" w:hAnsi="Times New Roman" w:cs="Times New Roman"/>
          <w:w w:val="103"/>
          <w:sz w:val="24"/>
          <w:szCs w:val="24"/>
        </w:rPr>
        <w:lastRenderedPageBreak/>
        <w:t>Relatório dos auditores independentes sobre a revisão das informações contábeis</w:t>
      </w:r>
      <w:r>
        <w:rPr>
          <w:rFonts w:ascii="Times New Roman" w:hAnsi="Times New Roman" w:cs="Times New Roman"/>
          <w:w w:val="103"/>
          <w:sz w:val="24"/>
          <w:szCs w:val="24"/>
        </w:rPr>
        <w:t xml:space="preserve"> </w:t>
      </w:r>
      <w:r>
        <w:rPr>
          <w:rFonts w:ascii="Times New Roman" w:hAnsi="Times New Roman" w:cs="Times New Roman"/>
          <w:w w:val="103"/>
          <w:sz w:val="24"/>
          <w:szCs w:val="24"/>
        </w:rPr>
        <w:t>intermediárias</w:t>
      </w:r>
      <w:bookmarkEnd w:id="226"/>
    </w:p>
    <w:p/>
    <w:p/>
    <w:p>
      <w:pPr>
        <w:pStyle w:val="NoSpacing1"/>
        <w:ind w:right="-516"/>
        <w:rPr>
          <w:rFonts w:ascii="Times New Roman" w:hAnsi="Times New Roman" w:cs="Times New Roman"/>
          <w:sz w:val="20"/>
          <w:szCs w:val="20"/>
        </w:rPr>
      </w:pPr>
      <w:r>
        <w:rPr>
          <w:rFonts w:ascii="Times New Roman" w:hAnsi="Times New Roman" w:cs="Times New Roman"/>
          <w:sz w:val="20"/>
          <w:szCs w:val="20"/>
        </w:rPr>
        <w:t>À Diretoria e Acionistas da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Companhia de Entrepostos e Armazéns Gerais de São Paulo - CEAGESP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São Paulo - SP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r>
        <w:rPr>
          <w:rFonts w:ascii="Times New Roman" w:hAnsi="Times New Roman"/>
          <w:b/>
          <w:sz w:val="20"/>
        </w:rPr>
        <w:t>Introdução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Revisamos as informações contábeis intermediárias da Companhia de Entrepostos e Armazéns Gerais de São Paulo (“Companhia” ou “CEAGESP”), contidas no Formulário de Informações Trimestrais – ITR, referente ao trimestre findo em 31 de março de 2020, que compreendem o balanço patrimonial em 31 de março de 2020 e as respectivas demonstrações do resultado, do resultado abrangente, das mutações do patrimônio líquido e dos fluxos de caixa para o período de três meses findo naquela data, incluindo as notas explicativas.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A Administração da Companhia é responsável pela elaboração das informações contábeis intermediárias de acordo com o Pronunciamento Técnico CPC 21 (R1) Demonstração Intermediária e com a norma internacional IAS 34 – </w:t>
      </w:r>
      <w:r>
        <w:rPr>
          <w:rFonts w:ascii="Times New Roman" w:hAnsi="Times New Roman"/>
          <w:i/>
          <w:sz w:val="20"/>
        </w:rPr>
        <w:t xml:space="preserve">Interim Financial </w:t>
      </w:r>
      <w:proofErr w:type="spellStart"/>
      <w:r>
        <w:rPr>
          <w:rFonts w:ascii="Times New Roman" w:hAnsi="Times New Roman"/>
          <w:i/>
          <w:sz w:val="20"/>
        </w:rPr>
        <w:t>Reporting</w:t>
      </w:r>
      <w:proofErr w:type="spellEnd"/>
      <w:r>
        <w:rPr>
          <w:rFonts w:ascii="Times New Roman" w:hAnsi="Times New Roman"/>
          <w:sz w:val="20"/>
        </w:rPr>
        <w:t xml:space="preserve">, emitida pelo </w:t>
      </w:r>
      <w:proofErr w:type="spellStart"/>
      <w:r>
        <w:rPr>
          <w:rFonts w:ascii="Times New Roman" w:hAnsi="Times New Roman"/>
          <w:i/>
          <w:sz w:val="20"/>
        </w:rPr>
        <w:t>International</w:t>
      </w:r>
      <w:proofErr w:type="spellEnd"/>
      <w:r>
        <w:rPr>
          <w:rFonts w:ascii="Times New Roman" w:hAnsi="Times New Roman"/>
          <w:i/>
          <w:sz w:val="20"/>
        </w:rPr>
        <w:t xml:space="preserve"> </w:t>
      </w:r>
      <w:proofErr w:type="spellStart"/>
      <w:r>
        <w:rPr>
          <w:rFonts w:ascii="Times New Roman" w:hAnsi="Times New Roman"/>
          <w:i/>
          <w:sz w:val="20"/>
        </w:rPr>
        <w:t>Accounting</w:t>
      </w:r>
      <w:proofErr w:type="spellEnd"/>
      <w:r>
        <w:rPr>
          <w:rFonts w:ascii="Times New Roman" w:hAnsi="Times New Roman"/>
          <w:i/>
          <w:sz w:val="20"/>
        </w:rPr>
        <w:t xml:space="preserve"> Standards </w:t>
      </w:r>
      <w:proofErr w:type="spellStart"/>
      <w:r>
        <w:rPr>
          <w:rFonts w:ascii="Times New Roman" w:hAnsi="Times New Roman"/>
          <w:i/>
          <w:sz w:val="20"/>
        </w:rPr>
        <w:t>Board</w:t>
      </w:r>
      <w:proofErr w:type="spellEnd"/>
      <w:r>
        <w:rPr>
          <w:rFonts w:ascii="Times New Roman" w:hAnsi="Times New Roman"/>
          <w:sz w:val="20"/>
        </w:rPr>
        <w:t xml:space="preserve"> (IASB), assim como pela apresentação dessas informações de forma condizente com as normas expedidas pela Comissão de Valores Mobiliários, aplicáveis à elaboração das Informações Trimestrais (ITR). Nossa responsabilidade é a de expressar uma conclusão sobre essas informações contábeis intermediárias com base em nossa revisão.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r>
        <w:rPr>
          <w:rFonts w:ascii="Times New Roman" w:hAnsi="Times New Roman"/>
          <w:b/>
          <w:sz w:val="20"/>
        </w:rPr>
        <w:t>Alcance da revisão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Conduzimos nossa revisão de acordo com as normas brasileiras e internacionais de revisão de informações intermediárias (NBC TR 2410 - Revisão de Informações Intermediárias Executada pelo Auditor da Entidade e ISRE 2410 - </w:t>
      </w:r>
      <w:proofErr w:type="spellStart"/>
      <w:r>
        <w:rPr>
          <w:rFonts w:ascii="Times New Roman" w:hAnsi="Times New Roman"/>
          <w:i/>
          <w:sz w:val="20"/>
        </w:rPr>
        <w:t>Review</w:t>
      </w:r>
      <w:proofErr w:type="spellEnd"/>
      <w:r>
        <w:rPr>
          <w:rFonts w:ascii="Times New Roman" w:hAnsi="Times New Roman"/>
          <w:i/>
          <w:sz w:val="20"/>
        </w:rPr>
        <w:t xml:space="preserve"> </w:t>
      </w:r>
      <w:proofErr w:type="spellStart"/>
      <w:r>
        <w:rPr>
          <w:rFonts w:ascii="Times New Roman" w:hAnsi="Times New Roman"/>
          <w:i/>
          <w:sz w:val="20"/>
        </w:rPr>
        <w:t>of</w:t>
      </w:r>
      <w:proofErr w:type="spellEnd"/>
      <w:r>
        <w:rPr>
          <w:rFonts w:ascii="Times New Roman" w:hAnsi="Times New Roman"/>
          <w:i/>
          <w:sz w:val="20"/>
        </w:rPr>
        <w:t xml:space="preserve"> Interim Financial </w:t>
      </w:r>
      <w:proofErr w:type="spellStart"/>
      <w:r>
        <w:rPr>
          <w:rFonts w:ascii="Times New Roman" w:hAnsi="Times New Roman"/>
          <w:i/>
          <w:sz w:val="20"/>
        </w:rPr>
        <w:t>Information</w:t>
      </w:r>
      <w:proofErr w:type="spellEnd"/>
      <w:r>
        <w:rPr>
          <w:rFonts w:ascii="Times New Roman" w:hAnsi="Times New Roman"/>
          <w:i/>
          <w:sz w:val="20"/>
        </w:rPr>
        <w:t xml:space="preserve"> </w:t>
      </w:r>
      <w:proofErr w:type="spellStart"/>
      <w:r>
        <w:rPr>
          <w:rFonts w:ascii="Times New Roman" w:hAnsi="Times New Roman"/>
          <w:i/>
          <w:sz w:val="20"/>
        </w:rPr>
        <w:t>Performed</w:t>
      </w:r>
      <w:proofErr w:type="spellEnd"/>
      <w:r>
        <w:rPr>
          <w:rFonts w:ascii="Times New Roman" w:hAnsi="Times New Roman"/>
          <w:i/>
          <w:sz w:val="20"/>
        </w:rPr>
        <w:t xml:space="preserve"> </w:t>
      </w:r>
      <w:proofErr w:type="spellStart"/>
      <w:r>
        <w:rPr>
          <w:rFonts w:ascii="Times New Roman" w:hAnsi="Times New Roman"/>
          <w:i/>
          <w:sz w:val="20"/>
        </w:rPr>
        <w:t>by</w:t>
      </w:r>
      <w:proofErr w:type="spellEnd"/>
      <w:r>
        <w:rPr>
          <w:rFonts w:ascii="Times New Roman" w:hAnsi="Times New Roman"/>
          <w:i/>
          <w:sz w:val="20"/>
        </w:rPr>
        <w:t xml:space="preserve"> </w:t>
      </w:r>
      <w:proofErr w:type="spellStart"/>
      <w:r>
        <w:rPr>
          <w:rFonts w:ascii="Times New Roman" w:hAnsi="Times New Roman"/>
          <w:i/>
          <w:sz w:val="20"/>
        </w:rPr>
        <w:t>the</w:t>
      </w:r>
      <w:proofErr w:type="spellEnd"/>
      <w:r>
        <w:rPr>
          <w:rFonts w:ascii="Times New Roman" w:hAnsi="Times New Roman"/>
          <w:i/>
          <w:sz w:val="20"/>
        </w:rPr>
        <w:t xml:space="preserve"> </w:t>
      </w:r>
      <w:proofErr w:type="spellStart"/>
      <w:r>
        <w:rPr>
          <w:rFonts w:ascii="Times New Roman" w:hAnsi="Times New Roman"/>
          <w:i/>
          <w:sz w:val="20"/>
        </w:rPr>
        <w:t>Independent</w:t>
      </w:r>
      <w:proofErr w:type="spellEnd"/>
      <w:r>
        <w:rPr>
          <w:rFonts w:ascii="Times New Roman" w:hAnsi="Times New Roman"/>
          <w:i/>
          <w:sz w:val="20"/>
        </w:rPr>
        <w:t xml:space="preserve"> Auditor </w:t>
      </w:r>
      <w:proofErr w:type="spellStart"/>
      <w:r>
        <w:rPr>
          <w:rFonts w:ascii="Times New Roman" w:hAnsi="Times New Roman"/>
          <w:i/>
          <w:sz w:val="20"/>
        </w:rPr>
        <w:t>of</w:t>
      </w:r>
      <w:proofErr w:type="spellEnd"/>
      <w:r>
        <w:rPr>
          <w:rFonts w:ascii="Times New Roman" w:hAnsi="Times New Roman"/>
          <w:i/>
          <w:sz w:val="20"/>
        </w:rPr>
        <w:t xml:space="preserve"> </w:t>
      </w:r>
      <w:proofErr w:type="spellStart"/>
      <w:r>
        <w:rPr>
          <w:rFonts w:ascii="Times New Roman" w:hAnsi="Times New Roman"/>
          <w:i/>
          <w:sz w:val="20"/>
        </w:rPr>
        <w:t>the</w:t>
      </w:r>
      <w:proofErr w:type="spellEnd"/>
      <w:r>
        <w:rPr>
          <w:rFonts w:ascii="Times New Roman" w:hAnsi="Times New Roman"/>
          <w:i/>
          <w:sz w:val="20"/>
        </w:rPr>
        <w:t xml:space="preserve"> </w:t>
      </w:r>
      <w:proofErr w:type="spellStart"/>
      <w:r>
        <w:rPr>
          <w:rFonts w:ascii="Times New Roman" w:hAnsi="Times New Roman"/>
          <w:i/>
          <w:sz w:val="20"/>
        </w:rPr>
        <w:t>Entity</w:t>
      </w:r>
      <w:proofErr w:type="spellEnd"/>
      <w:r>
        <w:rPr>
          <w:rFonts w:ascii="Times New Roman" w:hAnsi="Times New Roman"/>
          <w:sz w:val="20"/>
        </w:rPr>
        <w:t>, respectivamente). Uma revisão de informações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r>
        <w:rPr>
          <w:rFonts w:ascii="Times New Roman" w:hAnsi="Times New Roman"/>
          <w:b/>
          <w:sz w:val="20"/>
        </w:rPr>
        <w:t>Conclusão sobre as informações contábeis intermediárias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Com base em nossa revisão, não temos conhecimento de nenhum fato que nos leve a acreditar que as informações contábeis intermediárias incluídas nas informações intermediárias acima referidas não foram elaboradas, em todos os aspectos relevantes, de acordo com o CPC 21 (R1) e a IAS 34 aplicáveis à elaboração de Informações Trimestrais - ITR, e apresentadas de forma condizente com as normas expedidas pela Comissão de Valores Mobiliários.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r>
        <w:rPr>
          <w:rFonts w:ascii="Times New Roman" w:hAnsi="Times New Roman"/>
          <w:b/>
          <w:bCs/>
          <w:sz w:val="20"/>
        </w:rPr>
        <w:t>Ênfase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r>
        <w:rPr>
          <w:rFonts w:ascii="Times New Roman" w:hAnsi="Times New Roman"/>
          <w:b/>
          <w:sz w:val="20"/>
        </w:rPr>
        <w:t>Programa nacional de desestatização – PND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rPr>
          <w:rFonts w:ascii="Times New Roman" w:hAnsi="Times New Roman"/>
          <w:sz w:val="20"/>
        </w:rPr>
      </w:pPr>
      <w:r>
        <w:rPr>
          <w:rFonts w:ascii="Times New Roman" w:hAnsi="Times New Roman"/>
          <w:sz w:val="20"/>
        </w:rPr>
        <w:t xml:space="preserve">Através da Resolução n.º 81, de 21 de agosto de 2019, o Conselho do Programa de Parcerias de Investimentos da Presidência da República no uso das atribuições que lhe conferem o art. 7º, inciso I, da Lei nº 13.334, de 13 de setembro de 2016, considerando a necessidade de reordenar a posição estratégica do Estado na economia, transferindo à iniciativa privada atividades indevidamente exploradas pelo setor público; e, considerando a necessidade de ampliar as </w:t>
      </w:r>
      <w:r>
        <w:rPr>
          <w:rFonts w:ascii="Times New Roman" w:hAnsi="Times New Roman"/>
          <w:sz w:val="20"/>
        </w:rPr>
        <w:lastRenderedPageBreak/>
        <w:t xml:space="preserve">oportunidades de investimento e emprego no País e de estimular o desenvolvimento econômico nacional, em especial por meio de ações centradas na ampliação e na melhoria dos serviços voltados ao cidadão; resolveu opinar favoravelmente e submeter à deliberação do Presidente da República a inclusão da Companhia de Entrepostos e Armazéns Gerais de São Paulo – CEAGESP, empresa pública federal, no Programa Nacional de Desestatização – PND e sua qualificação no âmbito do Programa de Parcerias de Investimentos da Presidência da República – PPI.  </w:t>
      </w:r>
    </w:p>
    <w:p>
      <w:pPr>
        <w:rPr>
          <w:rFonts w:ascii="Times New Roman" w:hAnsi="Times New Roman"/>
          <w:sz w:val="20"/>
        </w:rPr>
      </w:pPr>
    </w:p>
    <w:p>
      <w:pPr>
        <w:widowControl/>
        <w:suppressAutoHyphens w:val="0"/>
        <w:spacing w:after="200" w:line="276" w:lineRule="auto"/>
        <w:rPr>
          <w:rFonts w:ascii="Times New Roman" w:hAnsi="Times New Roman"/>
          <w:sz w:val="20"/>
        </w:rPr>
      </w:pPr>
      <w:r>
        <w:rPr>
          <w:rFonts w:ascii="Times New Roman" w:hAnsi="Times New Roman"/>
          <w:sz w:val="20"/>
        </w:rPr>
        <w:t>Em 04 de outubro de 2019, foi sancionado pelo atual presidente da República do Brasil, o Decreto n.º 10.045, que dispõe sobre a qualificação da Companhia de Entrepostos e Armazéns Gerais de São Paulo – CEAGESP no âmbito do Programa de Parcerias de Investimentos da Presidência da República e sobre a sua inclusão no Programa Nacional de Desestatização, e neste mesmo ato, foi designado o Banco Nacional de Desenvolvimento Econômico Social – BNDES como responsável pela execução e acompanhamento dos atos necessários à desestatização da Companhia, nos termos do § 1º do art. 6º da Lei nº 9.491, de 9 de setembro de 1997.</w:t>
      </w:r>
    </w:p>
    <w:p>
      <w:pPr>
        <w:widowControl/>
        <w:suppressAutoHyphens w:val="0"/>
        <w:spacing w:after="200" w:line="276" w:lineRule="auto"/>
        <w:rPr>
          <w:rFonts w:ascii="Times New Roman" w:hAnsi="Times New Roman"/>
          <w:sz w:val="20"/>
        </w:rPr>
      </w:pPr>
      <w:r>
        <w:rPr>
          <w:rFonts w:ascii="Times New Roman" w:hAnsi="Times New Roman"/>
          <w:sz w:val="20"/>
        </w:rPr>
        <w:t>Atualmente a CEAGESP, encontra-se no Programa de Parcerias de Investimento, com status de projeto em andamento, sob o modelo de desestatização, para o qual o modelo de privatização ainda não fora definido. Com a inclusão no PND, a estruturação da modelagem está a cargo do BNDES. Nessa linha, após a realização de pregão eletrônico (n° 01/2020) em janeiro/2020, o BNDES realizou a contratação de consultoria especializada para o desenvolvimento dos estudos relativos à estruturação e implementação da desestatização da CEAGESP. Atualmente os estudos encontram-se em andamento.</w:t>
      </w:r>
    </w:p>
    <w:p>
      <w:pPr>
        <w:widowControl/>
        <w:suppressAutoHyphens w:val="0"/>
        <w:spacing w:after="200" w:line="276" w:lineRule="auto"/>
        <w:rPr>
          <w:rFonts w:ascii="Times New Roman" w:hAnsi="Times New Roman"/>
          <w:sz w:val="20"/>
        </w:rPr>
      </w:pPr>
      <w:r>
        <w:rPr>
          <w:rFonts w:ascii="Times New Roman" w:hAnsi="Times New Roman"/>
          <w:sz w:val="20"/>
        </w:rPr>
        <w:t>Chamamos a atenção para o fato que quaisquer decisões do governo federal, sobre a desestatização da CEAGESP, poderão vir a causar modificações de forma significativa nas demonstrações financeiras da Companhia, para as quais podemos exemplificar como possíveis Planos de Demissão Voluntária – PDV, Vendas de Ativos da Companhia entre outros.</w:t>
      </w:r>
    </w:p>
    <w:p>
      <w:pPr>
        <w:widowControl/>
        <w:suppressAutoHyphens w:val="0"/>
        <w:spacing w:after="200" w:line="276" w:lineRule="auto"/>
        <w:rPr>
          <w:rFonts w:ascii="Times New Roman" w:hAnsi="Times New Roman"/>
          <w:sz w:val="20"/>
        </w:rPr>
      </w:pPr>
      <w:r>
        <w:rPr>
          <w:rFonts w:ascii="Times New Roman" w:hAnsi="Times New Roman"/>
          <w:sz w:val="20"/>
        </w:rPr>
        <w:t>Adicionalmente, em decorrência da inclusão da Companhia no PND, a administração da CEAGESP, deve observar o Decreto n.º 2.594, de 15 de maio de 1998, que regulamenta a Lei n.º 9.491, de 09 de setembro de 1997, que dispõe sobre o Programa Nacional de Desestatização e dá outras providências.</w:t>
      </w:r>
    </w:p>
    <w:p>
      <w:pPr>
        <w:widowControl/>
        <w:suppressAutoHyphens w:val="0"/>
        <w:spacing w:after="200" w:line="276" w:lineRule="auto"/>
        <w:rPr>
          <w:rFonts w:ascii="Times New Roman" w:hAnsi="Times New Roman"/>
          <w:sz w:val="20"/>
        </w:rPr>
      </w:pPr>
      <w:r>
        <w:rPr>
          <w:rFonts w:ascii="Times New Roman" w:hAnsi="Times New Roman"/>
          <w:sz w:val="20"/>
        </w:rPr>
        <w:t>Em 10 de dezembro de 2019, fora expedido pelo Ministério da Economia, Secretaria Especial de Desestatização, Desenvolvimento e Mercados, o Ofício SEI n.º 92814/2019/ME, sob o assunto “Licitação para atribuição de áreas vagas no Entreposto Terminal de São Paulo”, com referência ao Processo n.º 19954.100273/2019-21. Tal oficio, informa sobre o conhecimento daquela Secretaria, que em 28 de novembro de 2019 foi publicado no Diário Oficial da União aviso de início de procedimentos licitatórios promovidos pela CEAGESP para atribuição de áreas no Entreposto Terminal de São Paulo, sem que o Ministro de Estado da Economia tenha sido consultado a respeito da conformidade dessa medida à luz do processo de desestatização da Companhia.</w:t>
      </w:r>
    </w:p>
    <w:p>
      <w:pPr>
        <w:widowControl/>
        <w:suppressAutoHyphens w:val="0"/>
        <w:spacing w:after="200" w:line="276" w:lineRule="auto"/>
        <w:rPr>
          <w:rFonts w:ascii="Times New Roman" w:hAnsi="Times New Roman"/>
          <w:sz w:val="20"/>
        </w:rPr>
      </w:pPr>
      <w:r>
        <w:rPr>
          <w:rFonts w:ascii="Times New Roman" w:hAnsi="Times New Roman"/>
          <w:sz w:val="20"/>
        </w:rPr>
        <w:t>Ainda de acordo com aquele oficio, o processo licitatório mencionava que a vigência da permissão de uso se daria por cinco (05) anos ininterruptos, entretanto a decisão de lançar os referidos editais estava condicionada à prévia autorização do Ministro de Estado da Economia, e que tal procedimento de contratação resultaria na celebração de acordos de natureza comercial com prazo de vigência superior a três (03) meses, enquadrando-se, portanto, na disposição do artigo 59, §1º, III, “d” do Decreto n.º 2594/1998. Desta forma, a ausência de consulta prévia ao Ministro de Estado da Economia para a promoção daqueles procedimentos licitatórios compromete a estratégia de desestatização da CEAGESP e, além disso, configura violação à legislação federal, nos termos anteriormente citados. Fora requerido à administração da companhia, providências cabíveis no sentido de sustar de forma imediata a prática de atos em desconformidade com o Decreto n.º 2594/1998.</w:t>
      </w:r>
    </w:p>
    <w:p>
      <w:pPr>
        <w:widowControl/>
        <w:suppressAutoHyphens w:val="0"/>
        <w:spacing w:after="200" w:line="276" w:lineRule="auto"/>
        <w:rPr>
          <w:rFonts w:ascii="Times New Roman" w:hAnsi="Times New Roman"/>
          <w:sz w:val="20"/>
        </w:rPr>
      </w:pPr>
      <w:r>
        <w:rPr>
          <w:rFonts w:ascii="Times New Roman" w:hAnsi="Times New Roman"/>
          <w:sz w:val="20"/>
        </w:rPr>
        <w:t xml:space="preserve">Diante do fato acima apresentado, cabe-nos chamar a atenção para os contratos dos permissionários e concessionários cuja quaisquer ações de renovação ou abertura de novos processos licitatórios deverão ser previamente aprovadas pelo </w:t>
      </w:r>
      <w:r>
        <w:rPr>
          <w:rFonts w:ascii="Times New Roman" w:hAnsi="Times New Roman"/>
          <w:sz w:val="20"/>
        </w:rPr>
        <w:lastRenderedPageBreak/>
        <w:t>Ministro de Estado da Economia, bem como a administração deverá seguir o disposto no Decreto n.º 2594/1998. Adicionalmente, chamamos a atenção para o fato de que em não havendo renovações e/ou novos processos licitatórios para áreas já desocupadas e/ou que estarão sendo desocupadas no decorrer do próximo exercício, a receita da Companhia tende a reduzir.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r>
        <w:rPr>
          <w:rFonts w:ascii="Times New Roman" w:hAnsi="Times New Roman"/>
          <w:b/>
          <w:bCs/>
          <w:sz w:val="20"/>
        </w:rPr>
        <w:t xml:space="preserve">Incerteza relevante relacionada com a continuidade operacional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Chamamos a atenção para as demonstrações do resultado do exercício do primeiro trimestre findo em 31 de março de 2020, que indicam que a Companhia incorreu em prejuízos de R$ 5.917 mil, e que tem apurado prejuízos recorrentes em suas operações. Esses eventos ou condições, juntamente com outros assuntos descritos nas demonstrações contábeis, indicam a existência de incerteza significativa que pode levantar dúvida quanto à capacidade da Companhia de manter sua continuidade operacional. Nossa opinião não contém ressalva relacionada a esse assunto.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b/>
          <w:bCs/>
          <w:sz w:val="20"/>
        </w:rPr>
      </w:pPr>
      <w:r>
        <w:rPr>
          <w:rFonts w:ascii="Times New Roman" w:hAnsi="Times New Roman"/>
          <w:b/>
          <w:bCs/>
          <w:sz w:val="20"/>
        </w:rPr>
        <w:t xml:space="preserve">Outros assuntos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A Companhia por meio do contrato n.º 070/18-20701908-03-030-01-1, realizou a contratação de empresa de advocacia e consultoria com o objetivo de obter serviços de consultoria tributária e por finalidade de reestruturação e adequação das atividades de gestão fiscal e tributária, e cobrança exclusiva na esfera administrativa de crédito pertencente à CEAGESP.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Em decorrência do referido contrato e seus dois aditivos a ele relacionados, foi elaborada pela empresa contratada laudo pericial datado de 20 de novembro de 2019, que apresentou em seu relatório sobre a revisão de PIS/COFINS no período de 01/01/2015 a 31/12/2019 realizada na apuração fiscal da CEAGESP, com a demonstração do crédito e método de apuração adotado.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De acordo com relatório apresentado à companhia, o parágrafo 127, conclui: “</w:t>
      </w:r>
      <w:r>
        <w:rPr>
          <w:rFonts w:ascii="Times New Roman" w:hAnsi="Times New Roman"/>
          <w:i/>
          <w:iCs/>
          <w:sz w:val="20"/>
        </w:rPr>
        <w:t xml:space="preserve">Diante do exposto, foram identificados no presente relatório de IRPJ/CSLL o valor total de R$ 2.701.572,92 (dois milhões, setecentos e </w:t>
      </w:r>
      <w:proofErr w:type="spellStart"/>
      <w:r>
        <w:rPr>
          <w:rFonts w:ascii="Times New Roman" w:hAnsi="Times New Roman"/>
          <w:i/>
          <w:iCs/>
          <w:sz w:val="20"/>
        </w:rPr>
        <w:t>hum</w:t>
      </w:r>
      <w:proofErr w:type="spellEnd"/>
      <w:r>
        <w:rPr>
          <w:rFonts w:ascii="Times New Roman" w:hAnsi="Times New Roman"/>
          <w:i/>
          <w:iCs/>
          <w:sz w:val="20"/>
        </w:rPr>
        <w:t xml:space="preserve"> mil, quinhentos e setenta e dois reais e noventa e dois centavos) de crédito tributários que não foram aproveitados pela empresa no seu respectivo período de competência e que ainda encontram-se passíveis de utilização imediata pela empresa para compensação de débitos futuros ou vencidos, bem como a título de </w:t>
      </w:r>
      <w:proofErr w:type="spellStart"/>
      <w:r>
        <w:rPr>
          <w:rFonts w:ascii="Times New Roman" w:hAnsi="Times New Roman"/>
          <w:i/>
          <w:iCs/>
          <w:sz w:val="20"/>
        </w:rPr>
        <w:t>Pis</w:t>
      </w:r>
      <w:proofErr w:type="spellEnd"/>
      <w:r>
        <w:rPr>
          <w:rFonts w:ascii="Times New Roman" w:hAnsi="Times New Roman"/>
          <w:i/>
          <w:iCs/>
          <w:sz w:val="20"/>
        </w:rPr>
        <w:t xml:space="preserve"> e </w:t>
      </w:r>
      <w:proofErr w:type="spellStart"/>
      <w:r>
        <w:rPr>
          <w:rFonts w:ascii="Times New Roman" w:hAnsi="Times New Roman"/>
          <w:i/>
          <w:iCs/>
          <w:sz w:val="20"/>
        </w:rPr>
        <w:t>Cofins</w:t>
      </w:r>
      <w:proofErr w:type="spellEnd"/>
      <w:r>
        <w:rPr>
          <w:rFonts w:ascii="Times New Roman" w:hAnsi="Times New Roman"/>
          <w:i/>
          <w:iCs/>
          <w:sz w:val="20"/>
        </w:rPr>
        <w:t xml:space="preserve"> da CEAGESP, totalizando até o momento R$ 21.515.795,21 (vinte e </w:t>
      </w:r>
      <w:proofErr w:type="spellStart"/>
      <w:r>
        <w:rPr>
          <w:rFonts w:ascii="Times New Roman" w:hAnsi="Times New Roman"/>
          <w:i/>
          <w:iCs/>
          <w:sz w:val="20"/>
        </w:rPr>
        <w:t>hum</w:t>
      </w:r>
      <w:proofErr w:type="spellEnd"/>
      <w:r>
        <w:rPr>
          <w:rFonts w:ascii="Times New Roman" w:hAnsi="Times New Roman"/>
          <w:i/>
          <w:iCs/>
          <w:sz w:val="20"/>
        </w:rPr>
        <w:t xml:space="preserve"> milhões, quinhentos e quinze mil, setecentos e noventa e cinco reais e vinte e um centavos).</w:t>
      </w:r>
      <w:r>
        <w:rPr>
          <w:rFonts w:ascii="Times New Roman" w:hAnsi="Times New Roman"/>
          <w:sz w:val="20"/>
        </w:rPr>
        <w:t>”. Ainda de acordo com esse mesmo relatório, os valores apresentados foram atualizados pela Taxa Selic acumulada até janeiro/2020.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 xml:space="preserve">Em função do relatório apresentado pela empresa contratada, a mesma gerou a cobrança à CEAGESP em 07 de fevereiro de 2020, por meio da emissão de duas notas fiscais, sendo a NF-e 0148 no valor de R$ 4.303 mil e a NF-e 0149 no valor de R$ 907 mil, ambas sobre serviços advocatícios, as quais geraram a obrigação também do Imposto sobre Serviços de Qualquer Natureza – ISSQN total de R$ 261 mil.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O Departamento Financeiro e Contábil – DEFIC por meio de comunicação interna 009/20, datada de 21 de fevereiro de 2020, solicitou o cancelamento das notas fiscais emitidas pela empresa contratada à Diretoria Administrativa e Financeira – DIAFI, em decorrência da não concordância das informações apresentadas no relatório pericial apresentado em vista de divergências de entendimento do negócio da Companhia cuja apresentação do cálculo se utilizou de valores para os quais a CEAGESP não poderia se utilizar do crédito. Em adição a essa recusa está também o fato de que o contrato firmado entre as partes, de acordo com a cláusula quarta – dos honorários: “</w:t>
      </w:r>
      <w:r>
        <w:rPr>
          <w:rFonts w:ascii="Times New Roman" w:hAnsi="Times New Roman"/>
          <w:i/>
          <w:iCs/>
          <w:sz w:val="20"/>
        </w:rPr>
        <w:t xml:space="preserve">4.1 O valor dos honorários será de 20% (vinte por cento) sobre o quanto efetivamente for recebido / recuperado (ad </w:t>
      </w:r>
      <w:proofErr w:type="spellStart"/>
      <w:r>
        <w:rPr>
          <w:rFonts w:ascii="Times New Roman" w:hAnsi="Times New Roman"/>
          <w:i/>
          <w:iCs/>
          <w:sz w:val="20"/>
        </w:rPr>
        <w:t>exitum</w:t>
      </w:r>
      <w:proofErr w:type="spellEnd"/>
      <w:r>
        <w:rPr>
          <w:rFonts w:ascii="Times New Roman" w:hAnsi="Times New Roman"/>
          <w:i/>
          <w:iCs/>
          <w:sz w:val="20"/>
        </w:rPr>
        <w:t>), pelo trabalho desempenhado na forma do objeto contratual, ...</w:t>
      </w:r>
      <w:r>
        <w:rPr>
          <w:rFonts w:ascii="Times New Roman" w:hAnsi="Times New Roman"/>
          <w:sz w:val="20"/>
        </w:rPr>
        <w:t>”. Com a aprovação da presidência da companhia, sobre a solicitação constante na comunicação interna, as NF-e foram recusadas por desacordo contratual, no sistema de emissão de NF-e da Fazenda Nacional.</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Chamamos a atenção para os fatos acima relatados, em virtude das divergências de informações e constatações apresentadas pela empresa contratada, ao fato da apresentação de crédito tributário total de R$ 24.218 mil, não respaldado de forma suficiente e razoável, e principalmente pela cobrança sobre a prestação de serviços e impostos a ele relacionados, os quais não foram registrados pela CEAGESP em seu passivo, por motivo de recusa das NF-e  e descumprimento de cláusula contratual sobre os honorários.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A auditoria interna da Companhia está realizando procedimentos de análise sobre a contratação, prestação de serviços e demais atos relacionados à empresa contratada para prestação de serviços de consultoria tributária, entretanto até a data da emissão deste relatório não nos foram apresentados os levantamentos e constatações realizados.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r>
        <w:rPr>
          <w:rFonts w:ascii="Times New Roman" w:hAnsi="Times New Roman"/>
          <w:sz w:val="20"/>
        </w:rPr>
        <w:t>São Paulo (SP), 26 de maio de 2020.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rPr>
          <w:rFonts w:ascii="Times New Roman" w:hAnsi="Times New Roman"/>
          <w:sz w:val="20"/>
        </w:rPr>
      </w:pPr>
    </w:p>
    <w:p>
      <w:pPr>
        <w:ind w:right="-516"/>
        <w:rPr>
          <w:rFonts w:ascii="Times New Roman" w:hAnsi="Times New Roman"/>
          <w:sz w:val="20"/>
        </w:rPr>
      </w:pPr>
    </w:p>
    <w:p>
      <w:pPr>
        <w:ind w:right="-516"/>
        <w:jc w:val="center"/>
        <w:rPr>
          <w:rFonts w:ascii="Times New Roman" w:hAnsi="Times New Roman"/>
          <w:sz w:val="20"/>
        </w:rPr>
      </w:pPr>
      <w:r>
        <w:rPr>
          <w:rFonts w:ascii="Times New Roman" w:hAnsi="Times New Roman"/>
          <w:sz w:val="20"/>
        </w:rPr>
        <w:t xml:space="preserve">Aderbal Alfonso </w:t>
      </w:r>
      <w:proofErr w:type="spellStart"/>
      <w:r>
        <w:rPr>
          <w:rFonts w:ascii="Times New Roman" w:hAnsi="Times New Roman"/>
          <w:sz w:val="20"/>
        </w:rPr>
        <w:t>Hoppe</w:t>
      </w:r>
      <w:proofErr w:type="spellEnd"/>
    </w:p>
    <w:p>
      <w:pPr>
        <w:ind w:right="-516"/>
        <w:jc w:val="center"/>
        <w:rPr>
          <w:rFonts w:ascii="Times New Roman" w:hAnsi="Times New Roman"/>
          <w:sz w:val="20"/>
        </w:rPr>
      </w:pPr>
      <w:r>
        <w:rPr>
          <w:rFonts w:ascii="Times New Roman" w:hAnsi="Times New Roman"/>
          <w:sz w:val="20"/>
        </w:rPr>
        <w:t>Sócio</w:t>
      </w:r>
    </w:p>
    <w:p>
      <w:pPr>
        <w:ind w:right="-516"/>
        <w:jc w:val="center"/>
        <w:rPr>
          <w:rFonts w:ascii="Times New Roman" w:hAnsi="Times New Roman"/>
          <w:sz w:val="20"/>
        </w:rPr>
      </w:pPr>
      <w:r>
        <w:rPr>
          <w:rFonts w:ascii="Times New Roman" w:hAnsi="Times New Roman"/>
          <w:sz w:val="20"/>
        </w:rPr>
        <w:t>Contador CRC-1SC020036/O-8-T-SP</w:t>
      </w:r>
    </w:p>
    <w:p>
      <w:pPr>
        <w:ind w:right="-516"/>
        <w:jc w:val="center"/>
        <w:rPr>
          <w:rFonts w:ascii="Times New Roman" w:hAnsi="Times New Roman"/>
          <w:sz w:val="20"/>
        </w:rPr>
      </w:pPr>
      <w:r>
        <w:rPr>
          <w:rFonts w:ascii="Times New Roman" w:hAnsi="Times New Roman"/>
          <w:sz w:val="20"/>
        </w:rPr>
        <w:t>TATICCA Auditores Independentes S.S.</w:t>
      </w:r>
    </w:p>
    <w:p>
      <w:pPr>
        <w:ind w:right="-516"/>
        <w:jc w:val="center"/>
        <w:rPr>
          <w:rFonts w:ascii="Times New Roman" w:hAnsi="Times New Roman"/>
          <w:sz w:val="20"/>
        </w:rPr>
      </w:pPr>
      <w:r>
        <w:rPr>
          <w:rFonts w:ascii="Times New Roman" w:hAnsi="Times New Roman"/>
          <w:sz w:val="20"/>
        </w:rPr>
        <w:t>CRC 2SP-03.22.67/O-1</w:t>
      </w:r>
    </w:p>
    <w:p>
      <w:pPr>
        <w:ind w:right="-516"/>
      </w:pPr>
    </w:p>
    <w:p>
      <w:pPr>
        <w:pStyle w:val="NoSpacing1"/>
        <w:rPr>
          <w:rFonts w:ascii="Times New Roman" w:hAnsi="Times New Roman" w:cs="Times New Roman"/>
        </w:rPr>
      </w:pPr>
    </w:p>
    <w:sectPr>
      <w:headerReference w:type="default" r:id="rId21"/>
      <w:pgSz w:w="11906" w:h="16838"/>
      <w:pgMar w:top="2410" w:right="1134" w:bottom="2127" w:left="1134"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before="428" w:line="100" w:lineRule="exact"/>
      <w:rPr>
        <w:sz w:val="10"/>
      </w:rPr>
    </w:pPr>
  </w:p>
  <w:p>
    <w:pPr>
      <w:tabs>
        <w:tab w:val="left" w:pos="0"/>
        <w:tab w:val="right" w:pos="8838"/>
      </w:tabs>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586804"/>
      <w:docPartObj>
        <w:docPartGallery w:val="Page Numbers (Bottom of Page)"/>
        <w:docPartUnique/>
      </w:docPartObj>
    </w:sdtPr>
    <w:sdtContent>
      <w:p>
        <w:pPr>
          <w:pStyle w:val="Rodap"/>
          <w:jc w:val="center"/>
        </w:pPr>
        <w:r>
          <w:fldChar w:fldCharType="begin"/>
        </w:r>
        <w:r>
          <w:instrText>PAGE   \* MERGEFORMAT</w:instrText>
        </w:r>
        <w:r>
          <w:fldChar w:fldCharType="separate"/>
        </w:r>
        <w:r>
          <w:rPr>
            <w:noProof/>
          </w:rPr>
          <w:t>4</w:t>
        </w:r>
        <w:r>
          <w:fldChar w:fldCharType="end"/>
        </w:r>
      </w:p>
    </w:sdtContent>
  </w:sdt>
  <w:p>
    <w:pPr>
      <w:pStyle w:val="Rodap"/>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465574"/>
      <w:docPartObj>
        <w:docPartGallery w:val="Page Numbers (Bottom of Page)"/>
        <w:docPartUnique/>
      </w:docPartObj>
    </w:sdtPr>
    <w:sdtContent>
      <w:p>
        <w:pPr>
          <w:pStyle w:val="Rodap"/>
          <w:jc w:val="center"/>
        </w:pPr>
        <w:r>
          <w:fldChar w:fldCharType="begin"/>
        </w:r>
        <w:r>
          <w:instrText>PAGE   \* MERGEFORMAT</w:instrText>
        </w:r>
        <w:r>
          <w:fldChar w:fldCharType="separate"/>
        </w:r>
        <w:r>
          <w:rPr>
            <w:noProof/>
          </w:rPr>
          <w:t>7</w:t>
        </w:r>
        <w:r>
          <w:fldChar w:fldCharType="end"/>
        </w:r>
      </w:p>
    </w:sdtContent>
  </w:sdt>
  <w:p>
    <w:pPr>
      <w:pStyle w:val="Rodap"/>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40419"/>
      <w:docPartObj>
        <w:docPartGallery w:val="Page Numbers (Bottom of Page)"/>
        <w:docPartUnique/>
      </w:docPartObj>
    </w:sdtPr>
    <w:sdtContent>
      <w:p>
        <w:pPr>
          <w:pStyle w:val="Rodap"/>
          <w:jc w:val="center"/>
        </w:pPr>
        <w:r>
          <w:fldChar w:fldCharType="begin"/>
        </w:r>
        <w:r>
          <w:instrText>PAGE   \* MERGEFORMAT</w:instrText>
        </w:r>
        <w:r>
          <w:fldChar w:fldCharType="separate"/>
        </w:r>
        <w:r>
          <w:rPr>
            <w:noProof/>
          </w:rPr>
          <w:t>8</w:t>
        </w:r>
        <w:r>
          <w:fldChar w:fldCharType="end"/>
        </w:r>
      </w:p>
    </w:sdtContent>
  </w:sdt>
  <w:p>
    <w:pPr>
      <w:pStyle w:val="Rodap"/>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931227"/>
      <w:docPartObj>
        <w:docPartGallery w:val="Page Numbers (Bottom of Page)"/>
        <w:docPartUnique/>
      </w:docPartObj>
    </w:sdtPr>
    <w:sdtContent>
      <w:p>
        <w:pPr>
          <w:pStyle w:val="Rodap"/>
          <w:jc w:val="center"/>
        </w:pPr>
        <w:r>
          <w:fldChar w:fldCharType="begin"/>
        </w:r>
        <w:r>
          <w:instrText>PAGE   \* MERGEFORMAT</w:instrText>
        </w:r>
        <w:r>
          <w:fldChar w:fldCharType="separate"/>
        </w:r>
        <w:r>
          <w:rPr>
            <w:noProof/>
          </w:rPr>
          <w:t>38</w:t>
        </w:r>
        <w:r>
          <w:fldChar w:fldCharType="end"/>
        </w:r>
      </w:p>
    </w:sdtContent>
  </w:sdt>
  <w:p>
    <w:pPr>
      <w:spacing w:befor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773"/>
    </w:tblGrid>
    <w:tr>
      <w:trPr>
        <w:cantSplit/>
      </w:trPr>
      <w:tc>
        <w:tcPr>
          <w:tcW w:w="4722" w:type="dxa"/>
        </w:tcPr>
        <w:p>
          <w:pPr>
            <w:pStyle w:val="Cabealho"/>
            <w:snapToGrid w:val="0"/>
          </w:pPr>
          <w:r>
            <w:rPr>
              <w:noProof/>
              <w:lang w:eastAsia="pt-BR"/>
            </w:rPr>
            <w:drawing>
              <wp:inline distT="0" distB="0" distL="0" distR="0">
                <wp:extent cx="1380490" cy="854075"/>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773" w:type="dxa"/>
          <w:vAlign w:val="bottom"/>
        </w:tcPr>
        <w:p>
          <w:pPr>
            <w:pStyle w:val="Cabealho"/>
            <w:snapToGrid w:val="0"/>
            <w:jc w:val="right"/>
          </w:pPr>
          <w:r>
            <w:rPr>
              <w:noProof/>
              <w:lang w:eastAsia="pt-BR"/>
            </w:rPr>
            <w:drawing>
              <wp:inline distT="0" distB="0" distL="0" distR="0">
                <wp:extent cx="1863090" cy="78486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jc w:val="center"/>
    </w:pPr>
    <w:r>
      <w:rPr>
        <w:rFonts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abealho"/>
    </w:pPr>
    <w:r>
      <w:rPr>
        <w:noProof/>
        <w:lang w:eastAsia="pt-BR"/>
      </w:rPr>
      <w:drawing>
        <wp:inline distT="0" distB="0" distL="0" distR="0">
          <wp:extent cx="1380490" cy="85407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r>
      <w:t xml:space="preserve">                                                                          </w:t>
    </w:r>
    <w:r>
      <w:rPr>
        <w:noProof/>
        <w:lang w:eastAsia="pt-BR"/>
      </w:rPr>
      <w:drawing>
        <wp:inline distT="0" distB="0" distL="0" distR="0">
          <wp:extent cx="1863090" cy="78486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987" w:type="dxa"/>
          <w:vAlign w:val="bottom"/>
        </w:tcPr>
        <w:p>
          <w:pPr>
            <w:pStyle w:val="Cabealho"/>
            <w:snapToGrid w:val="0"/>
            <w:jc w:val="right"/>
          </w:pPr>
          <w:r>
            <w:rPr>
              <w:noProof/>
              <w:lang w:eastAsia="pt-BR"/>
            </w:rPr>
            <w:drawing>
              <wp:inline distT="0" distB="0" distL="0" distR="0">
                <wp:extent cx="1863090" cy="78486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69" w:type="dxa"/>
      <w:tblLayout w:type="fixed"/>
      <w:tblCellMar>
        <w:left w:w="70" w:type="dxa"/>
        <w:right w:w="70" w:type="dxa"/>
      </w:tblCellMar>
      <w:tblLook w:val="0000" w:firstRow="0" w:lastRow="0" w:firstColumn="0" w:lastColumn="0" w:noHBand="0" w:noVBand="0"/>
    </w:tblPr>
    <w:tblGrid>
      <w:gridCol w:w="4669"/>
      <w:gridCol w:w="9700"/>
    </w:tblGrid>
    <w:tr>
      <w:trPr>
        <w:cantSplit/>
        <w:trHeight w:val="1184"/>
      </w:trPr>
      <w:tc>
        <w:tcPr>
          <w:tcW w:w="4669" w:type="dxa"/>
        </w:tcPr>
        <w:p>
          <w:pPr>
            <w:pStyle w:val="Cabealho"/>
            <w:tabs>
              <w:tab w:val="clear" w:pos="4419"/>
              <w:tab w:val="clear" w:pos="8838"/>
              <w:tab w:val="left" w:pos="3133"/>
            </w:tabs>
            <w:snapToGrid w:val="0"/>
          </w:pPr>
          <w:r>
            <w:rPr>
              <w:noProof/>
              <w:lang w:eastAsia="pt-BR"/>
            </w:rPr>
            <w:drawing>
              <wp:inline distT="0" distB="0" distL="0" distR="0">
                <wp:extent cx="1380490" cy="85407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r>
            <w:tab/>
          </w:r>
        </w:p>
      </w:tc>
      <w:tc>
        <w:tcPr>
          <w:tcW w:w="9700" w:type="dxa"/>
          <w:vAlign w:val="bottom"/>
        </w:tcPr>
        <w:p>
          <w:pPr>
            <w:pStyle w:val="Cabealho"/>
            <w:snapToGrid w:val="0"/>
            <w:jc w:val="right"/>
          </w:pPr>
          <w:r>
            <w:rPr>
              <w:noProof/>
              <w:lang w:eastAsia="pt-BR"/>
            </w:rPr>
            <w:drawing>
              <wp:inline distT="0" distB="0" distL="0" distR="0">
                <wp:extent cx="1863090" cy="78486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tabs>
        <w:tab w:val="clear" w:pos="4419"/>
        <w:tab w:val="clear" w:pos="8838"/>
        <w:tab w:val="left" w:pos="846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abealho"/>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69" o:spid="_x0000_s34822" type="#_x0000_t75" style="position:absolute;left:0;text-align:left;margin-left:0;margin-top:0;width:669.6pt;height:947.15pt;z-index:-251651072;mso-position-horizontal:center;mso-position-horizontal-relative:margin;mso-position-vertical:center;mso-position-vertical-relative:margin" o:allowincell="f">
          <v:imagedata r:id="rId1" o:title="BACKGROUND"/>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3" w:type="dxa"/>
      <w:tblLayout w:type="fixed"/>
      <w:tblCellMar>
        <w:left w:w="70" w:type="dxa"/>
        <w:right w:w="70" w:type="dxa"/>
      </w:tblCellMar>
      <w:tblLook w:val="0000" w:firstRow="0" w:lastRow="0" w:firstColumn="0" w:lastColumn="0" w:noHBand="0" w:noVBand="0"/>
    </w:tblPr>
    <w:tblGrid>
      <w:gridCol w:w="3143"/>
      <w:gridCol w:w="6530"/>
    </w:tblGrid>
    <w:tr>
      <w:trPr>
        <w:cantSplit/>
        <w:trHeight w:val="1063"/>
      </w:trPr>
      <w:tc>
        <w:tcPr>
          <w:tcW w:w="3143" w:type="dxa"/>
        </w:tcPr>
        <w:p>
          <w:pPr>
            <w:pStyle w:val="Cabealho"/>
            <w:tabs>
              <w:tab w:val="clear" w:pos="4419"/>
              <w:tab w:val="clear" w:pos="8838"/>
              <w:tab w:val="left" w:pos="3133"/>
            </w:tabs>
            <w:snapToGrid w:val="0"/>
          </w:pPr>
          <w:r>
            <w:rPr>
              <w:noProof/>
              <w:lang w:eastAsia="pt-BR"/>
            </w:rPr>
            <w:drawing>
              <wp:inline distT="0" distB="0" distL="0" distR="0">
                <wp:extent cx="1380490" cy="854075"/>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6530" w:type="dxa"/>
          <w:vAlign w:val="bottom"/>
        </w:tcPr>
        <w:p>
          <w:pPr>
            <w:pStyle w:val="Cabealho"/>
            <w:snapToGrid w:val="0"/>
            <w:jc w:val="right"/>
          </w:pPr>
          <w:r>
            <w:rPr>
              <w:noProof/>
              <w:lang w:eastAsia="pt-BR"/>
            </w:rPr>
            <w:drawing>
              <wp:inline distT="0" distB="0" distL="0" distR="0">
                <wp:extent cx="1863090" cy="78486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abealho"/>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68" o:spid="_x0000_s34821" type="#_x0000_t75" style="position:absolute;left:0;text-align:left;margin-left:0;margin-top:0;width:669.6pt;height:947.15pt;z-index:-251652096;mso-position-horizontal:center;mso-position-horizontal-relative:margin;mso-position-vertical:center;mso-position-vertical-relative:margin" o:allowincell="f">
          <v:imagedata r:id="rId1" o:title="BACKGROUND"/>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3" w:type="dxa"/>
      <w:tblLayout w:type="fixed"/>
      <w:tblCellMar>
        <w:left w:w="70" w:type="dxa"/>
        <w:right w:w="70" w:type="dxa"/>
      </w:tblCellMar>
      <w:tblLook w:val="0000" w:firstRow="0" w:lastRow="0" w:firstColumn="0" w:lastColumn="0" w:noHBand="0" w:noVBand="0"/>
    </w:tblPr>
    <w:tblGrid>
      <w:gridCol w:w="3143"/>
      <w:gridCol w:w="6530"/>
    </w:tblGrid>
    <w:tr>
      <w:trPr>
        <w:cantSplit/>
        <w:trHeight w:val="1063"/>
      </w:trPr>
      <w:tc>
        <w:tcPr>
          <w:tcW w:w="3143" w:type="dxa"/>
        </w:tcPr>
        <w:p>
          <w:pPr>
            <w:pStyle w:val="Cabealho"/>
            <w:tabs>
              <w:tab w:val="clear" w:pos="4419"/>
              <w:tab w:val="clear" w:pos="8838"/>
              <w:tab w:val="left" w:pos="3133"/>
            </w:tabs>
            <w:snapToGrid w:val="0"/>
          </w:pPr>
          <w:r>
            <w:rPr>
              <w:noProof/>
              <w:lang w:eastAsia="pt-BR"/>
            </w:rPr>
            <w:drawing>
              <wp:anchor distT="0" distB="0" distL="114300" distR="114300" simplePos="0" relativeHeight="251667456" behindDoc="0" locked="0" layoutInCell="1" allowOverlap="1">
                <wp:simplePos x="0" y="0"/>
                <wp:positionH relativeFrom="margin">
                  <wp:posOffset>-6350</wp:posOffset>
                </wp:positionH>
                <wp:positionV relativeFrom="paragraph">
                  <wp:posOffset>166370</wp:posOffset>
                </wp:positionV>
                <wp:extent cx="1610400" cy="396000"/>
                <wp:effectExtent l="0" t="0" r="0" b="4445"/>
                <wp:wrapTopAndBottom/>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4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30" w:type="dxa"/>
          <w:vAlign w:val="bottom"/>
        </w:tcPr>
        <w:p>
          <w:pPr>
            <w:pStyle w:val="Cabealho"/>
            <w:snapToGrid w:val="0"/>
            <w:jc w:val="right"/>
          </w:pPr>
          <w:r>
            <w:rPr>
              <w:noProof/>
              <w:lang w:eastAsia="pt-BR"/>
            </w:rPr>
            <w:drawing>
              <wp:anchor distT="0" distB="0" distL="114300" distR="114300" simplePos="0" relativeHeight="251669504" behindDoc="0" locked="0" layoutInCell="1" allowOverlap="1">
                <wp:simplePos x="0" y="0"/>
                <wp:positionH relativeFrom="margin">
                  <wp:posOffset>2133388</wp:posOffset>
                </wp:positionH>
                <wp:positionV relativeFrom="paragraph">
                  <wp:posOffset>115993</wp:posOffset>
                </wp:positionV>
                <wp:extent cx="1884680" cy="442595"/>
                <wp:effectExtent l="0" t="0" r="1270" b="0"/>
                <wp:wrapNone/>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68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70" o:spid="_x0000_s34824" type="#_x0000_t75" style="position:absolute;left:0;text-align:left;margin-left:0;margin-top:0;width:669.6pt;height:947.15pt;z-index:-251645952;mso-position-horizontal:center;mso-position-horizontal-relative:margin;mso-position-vertical:center;mso-position-vertical-relative:margin" o:allowincell="f">
          <v:imagedata r:id="rId3" o:title="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pStyle w:val="Ttulo9"/>
      <w:suff w:val="nothing"/>
      <w:lvlText w:val=""/>
      <w:lvlJc w:val="left"/>
      <w:pPr>
        <w:tabs>
          <w:tab w:val="num" w:pos="0"/>
        </w:tabs>
      </w:pPr>
    </w:lvl>
  </w:abstractNum>
  <w:abstractNum w:abstractNumId="1">
    <w:nsid w:val="00000002"/>
    <w:multiLevelType w:val="singleLevel"/>
    <w:tmpl w:val="00000002"/>
    <w:name w:val="WW8Num2"/>
    <w:lvl w:ilvl="0">
      <w:start w:val="1"/>
      <w:numFmt w:val="lowerLetter"/>
      <w:lvlText w:val="%1."/>
      <w:lvlJc w:val="left"/>
      <w:pPr>
        <w:tabs>
          <w:tab w:val="num" w:pos="567"/>
        </w:tabs>
      </w:pPr>
      <w:rPr>
        <w:b/>
      </w:rPr>
    </w:lvl>
  </w:abstractNum>
  <w:abstractNum w:abstractNumId="2">
    <w:nsid w:val="00000003"/>
    <w:multiLevelType w:val="singleLevel"/>
    <w:tmpl w:val="00000003"/>
    <w:name w:val="WW8Num3"/>
    <w:lvl w:ilvl="0">
      <w:start w:val="1"/>
      <w:numFmt w:val="bullet"/>
      <w:lvlText w:val=""/>
      <w:lvlJc w:val="left"/>
      <w:pPr>
        <w:tabs>
          <w:tab w:val="num" w:pos="0"/>
        </w:tabs>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pPr>
      <w:rPr>
        <w:rFonts w:ascii="Wingdings" w:hAnsi="Wingdings"/>
        <w:sz w:val="24"/>
      </w:rPr>
    </w:lvl>
  </w:abstractNum>
  <w:abstractNum w:abstractNumId="4">
    <w:nsid w:val="00000005"/>
    <w:multiLevelType w:val="multilevel"/>
    <w:tmpl w:val="BFACCABA"/>
    <w:name w:val="WW8Num5"/>
    <w:lvl w:ilvl="0">
      <w:start w:val="21"/>
      <w:numFmt w:val="decimal"/>
      <w:lvlText w:val="%1."/>
      <w:lvlJc w:val="left"/>
      <w:pPr>
        <w:tabs>
          <w:tab w:val="num" w:pos="930"/>
        </w:tabs>
      </w:p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00000006"/>
    <w:name w:val="WW8Num6"/>
    <w:lvl w:ilvl="0">
      <w:start w:val="8"/>
      <w:numFmt w:val="decimal"/>
      <w:lvlText w:val="%1"/>
      <w:lvlJc w:val="left"/>
      <w:pPr>
        <w:tabs>
          <w:tab w:val="num" w:pos="720"/>
        </w:tabs>
      </w:pPr>
    </w:lvl>
  </w:abstractNum>
  <w:abstractNum w:abstractNumId="6">
    <w:nsid w:val="00C36E91"/>
    <w:multiLevelType w:val="hybridMultilevel"/>
    <w:tmpl w:val="FE464B70"/>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AE0650B"/>
    <w:multiLevelType w:val="hybridMultilevel"/>
    <w:tmpl w:val="645A5A6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57D094D"/>
    <w:multiLevelType w:val="hybridMultilevel"/>
    <w:tmpl w:val="DF766D1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B274BA8"/>
    <w:multiLevelType w:val="hybridMultilevel"/>
    <w:tmpl w:val="81CAC282"/>
    <w:lvl w:ilvl="0" w:tplc="0416000D">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21D52D2B"/>
    <w:multiLevelType w:val="hybridMultilevel"/>
    <w:tmpl w:val="03CE46BC"/>
    <w:lvl w:ilvl="0" w:tplc="1B14276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23FA668F"/>
    <w:multiLevelType w:val="hybridMultilevel"/>
    <w:tmpl w:val="66288D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7951F4"/>
    <w:multiLevelType w:val="hybridMultilevel"/>
    <w:tmpl w:val="56D6B28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9653F45"/>
    <w:multiLevelType w:val="hybridMultilevel"/>
    <w:tmpl w:val="F8903B2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nsid w:val="29D74F92"/>
    <w:multiLevelType w:val="hybridMultilevel"/>
    <w:tmpl w:val="D1EAB22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1D74E30"/>
    <w:multiLevelType w:val="hybridMultilevel"/>
    <w:tmpl w:val="ADB6AB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28D00F0"/>
    <w:multiLevelType w:val="hybridMultilevel"/>
    <w:tmpl w:val="4D90E3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537336E"/>
    <w:multiLevelType w:val="hybridMultilevel"/>
    <w:tmpl w:val="8C2E59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6C13690"/>
    <w:multiLevelType w:val="hybridMultilevel"/>
    <w:tmpl w:val="DD129464"/>
    <w:lvl w:ilvl="0" w:tplc="04160001">
      <w:start w:val="1"/>
      <w:numFmt w:val="bullet"/>
      <w:lvlText w:val=""/>
      <w:lvlJc w:val="left"/>
      <w:pPr>
        <w:ind w:left="781" w:hanging="360"/>
      </w:pPr>
      <w:rPr>
        <w:rFonts w:ascii="Symbol" w:hAnsi="Symbol" w:hint="default"/>
      </w:rPr>
    </w:lvl>
    <w:lvl w:ilvl="1" w:tplc="04160003" w:tentative="1">
      <w:start w:val="1"/>
      <w:numFmt w:val="bullet"/>
      <w:lvlText w:val="o"/>
      <w:lvlJc w:val="left"/>
      <w:pPr>
        <w:ind w:left="1501" w:hanging="360"/>
      </w:pPr>
      <w:rPr>
        <w:rFonts w:ascii="Courier New" w:hAnsi="Courier New" w:cs="Courier New" w:hint="default"/>
      </w:rPr>
    </w:lvl>
    <w:lvl w:ilvl="2" w:tplc="04160005" w:tentative="1">
      <w:start w:val="1"/>
      <w:numFmt w:val="bullet"/>
      <w:lvlText w:val=""/>
      <w:lvlJc w:val="left"/>
      <w:pPr>
        <w:ind w:left="2221" w:hanging="360"/>
      </w:pPr>
      <w:rPr>
        <w:rFonts w:ascii="Wingdings" w:hAnsi="Wingdings" w:hint="default"/>
      </w:rPr>
    </w:lvl>
    <w:lvl w:ilvl="3" w:tplc="04160001" w:tentative="1">
      <w:start w:val="1"/>
      <w:numFmt w:val="bullet"/>
      <w:lvlText w:val=""/>
      <w:lvlJc w:val="left"/>
      <w:pPr>
        <w:ind w:left="2941" w:hanging="360"/>
      </w:pPr>
      <w:rPr>
        <w:rFonts w:ascii="Symbol" w:hAnsi="Symbol" w:hint="default"/>
      </w:rPr>
    </w:lvl>
    <w:lvl w:ilvl="4" w:tplc="04160003" w:tentative="1">
      <w:start w:val="1"/>
      <w:numFmt w:val="bullet"/>
      <w:lvlText w:val="o"/>
      <w:lvlJc w:val="left"/>
      <w:pPr>
        <w:ind w:left="3661" w:hanging="360"/>
      </w:pPr>
      <w:rPr>
        <w:rFonts w:ascii="Courier New" w:hAnsi="Courier New" w:cs="Courier New" w:hint="default"/>
      </w:rPr>
    </w:lvl>
    <w:lvl w:ilvl="5" w:tplc="04160005" w:tentative="1">
      <w:start w:val="1"/>
      <w:numFmt w:val="bullet"/>
      <w:lvlText w:val=""/>
      <w:lvlJc w:val="left"/>
      <w:pPr>
        <w:ind w:left="4381" w:hanging="360"/>
      </w:pPr>
      <w:rPr>
        <w:rFonts w:ascii="Wingdings" w:hAnsi="Wingdings" w:hint="default"/>
      </w:rPr>
    </w:lvl>
    <w:lvl w:ilvl="6" w:tplc="04160001" w:tentative="1">
      <w:start w:val="1"/>
      <w:numFmt w:val="bullet"/>
      <w:lvlText w:val=""/>
      <w:lvlJc w:val="left"/>
      <w:pPr>
        <w:ind w:left="5101" w:hanging="360"/>
      </w:pPr>
      <w:rPr>
        <w:rFonts w:ascii="Symbol" w:hAnsi="Symbol" w:hint="default"/>
      </w:rPr>
    </w:lvl>
    <w:lvl w:ilvl="7" w:tplc="04160003" w:tentative="1">
      <w:start w:val="1"/>
      <w:numFmt w:val="bullet"/>
      <w:lvlText w:val="o"/>
      <w:lvlJc w:val="left"/>
      <w:pPr>
        <w:ind w:left="5821" w:hanging="360"/>
      </w:pPr>
      <w:rPr>
        <w:rFonts w:ascii="Courier New" w:hAnsi="Courier New" w:cs="Courier New" w:hint="default"/>
      </w:rPr>
    </w:lvl>
    <w:lvl w:ilvl="8" w:tplc="04160005" w:tentative="1">
      <w:start w:val="1"/>
      <w:numFmt w:val="bullet"/>
      <w:lvlText w:val=""/>
      <w:lvlJc w:val="left"/>
      <w:pPr>
        <w:ind w:left="6541" w:hanging="360"/>
      </w:pPr>
      <w:rPr>
        <w:rFonts w:ascii="Wingdings" w:hAnsi="Wingdings" w:hint="default"/>
      </w:rPr>
    </w:lvl>
  </w:abstractNum>
  <w:abstractNum w:abstractNumId="19">
    <w:nsid w:val="3C9D15BC"/>
    <w:multiLevelType w:val="hybridMultilevel"/>
    <w:tmpl w:val="121075B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CAB2355"/>
    <w:multiLevelType w:val="hybridMultilevel"/>
    <w:tmpl w:val="74320EB8"/>
    <w:lvl w:ilvl="0" w:tplc="47BA341C">
      <w:start w:val="1"/>
      <w:numFmt w:val="lowerLetter"/>
      <w:lvlText w:val="%1)"/>
      <w:lvlJc w:val="left"/>
      <w:pPr>
        <w:ind w:left="786" w:hanging="360"/>
      </w:pPr>
      <w:rPr>
        <w:rFonts w:cs="Times New Roman"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22971D4"/>
    <w:multiLevelType w:val="multilevel"/>
    <w:tmpl w:val="213A2B18"/>
    <w:lvl w:ilvl="0">
      <w:start w:val="1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9854B2"/>
    <w:multiLevelType w:val="hybridMultilevel"/>
    <w:tmpl w:val="087CFE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B350122"/>
    <w:multiLevelType w:val="hybridMultilevel"/>
    <w:tmpl w:val="37E81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1667560"/>
    <w:multiLevelType w:val="hybridMultilevel"/>
    <w:tmpl w:val="9086C6A6"/>
    <w:lvl w:ilvl="0" w:tplc="04160001">
      <w:start w:val="1"/>
      <w:numFmt w:val="bullet"/>
      <w:lvlText w:val=""/>
      <w:lvlJc w:val="left"/>
      <w:pPr>
        <w:ind w:left="781" w:hanging="360"/>
      </w:pPr>
      <w:rPr>
        <w:rFonts w:ascii="Symbol" w:hAnsi="Symbol" w:hint="default"/>
      </w:rPr>
    </w:lvl>
    <w:lvl w:ilvl="1" w:tplc="04160003" w:tentative="1">
      <w:start w:val="1"/>
      <w:numFmt w:val="bullet"/>
      <w:lvlText w:val="o"/>
      <w:lvlJc w:val="left"/>
      <w:pPr>
        <w:ind w:left="1501" w:hanging="360"/>
      </w:pPr>
      <w:rPr>
        <w:rFonts w:ascii="Courier New" w:hAnsi="Courier New" w:cs="Courier New" w:hint="default"/>
      </w:rPr>
    </w:lvl>
    <w:lvl w:ilvl="2" w:tplc="04160005" w:tentative="1">
      <w:start w:val="1"/>
      <w:numFmt w:val="bullet"/>
      <w:lvlText w:val=""/>
      <w:lvlJc w:val="left"/>
      <w:pPr>
        <w:ind w:left="2221" w:hanging="360"/>
      </w:pPr>
      <w:rPr>
        <w:rFonts w:ascii="Wingdings" w:hAnsi="Wingdings" w:hint="default"/>
      </w:rPr>
    </w:lvl>
    <w:lvl w:ilvl="3" w:tplc="04160001" w:tentative="1">
      <w:start w:val="1"/>
      <w:numFmt w:val="bullet"/>
      <w:lvlText w:val=""/>
      <w:lvlJc w:val="left"/>
      <w:pPr>
        <w:ind w:left="2941" w:hanging="360"/>
      </w:pPr>
      <w:rPr>
        <w:rFonts w:ascii="Symbol" w:hAnsi="Symbol" w:hint="default"/>
      </w:rPr>
    </w:lvl>
    <w:lvl w:ilvl="4" w:tplc="04160003" w:tentative="1">
      <w:start w:val="1"/>
      <w:numFmt w:val="bullet"/>
      <w:lvlText w:val="o"/>
      <w:lvlJc w:val="left"/>
      <w:pPr>
        <w:ind w:left="3661" w:hanging="360"/>
      </w:pPr>
      <w:rPr>
        <w:rFonts w:ascii="Courier New" w:hAnsi="Courier New" w:cs="Courier New" w:hint="default"/>
      </w:rPr>
    </w:lvl>
    <w:lvl w:ilvl="5" w:tplc="04160005" w:tentative="1">
      <w:start w:val="1"/>
      <w:numFmt w:val="bullet"/>
      <w:lvlText w:val=""/>
      <w:lvlJc w:val="left"/>
      <w:pPr>
        <w:ind w:left="4381" w:hanging="360"/>
      </w:pPr>
      <w:rPr>
        <w:rFonts w:ascii="Wingdings" w:hAnsi="Wingdings" w:hint="default"/>
      </w:rPr>
    </w:lvl>
    <w:lvl w:ilvl="6" w:tplc="04160001" w:tentative="1">
      <w:start w:val="1"/>
      <w:numFmt w:val="bullet"/>
      <w:lvlText w:val=""/>
      <w:lvlJc w:val="left"/>
      <w:pPr>
        <w:ind w:left="5101" w:hanging="360"/>
      </w:pPr>
      <w:rPr>
        <w:rFonts w:ascii="Symbol" w:hAnsi="Symbol" w:hint="default"/>
      </w:rPr>
    </w:lvl>
    <w:lvl w:ilvl="7" w:tplc="04160003" w:tentative="1">
      <w:start w:val="1"/>
      <w:numFmt w:val="bullet"/>
      <w:lvlText w:val="o"/>
      <w:lvlJc w:val="left"/>
      <w:pPr>
        <w:ind w:left="5821" w:hanging="360"/>
      </w:pPr>
      <w:rPr>
        <w:rFonts w:ascii="Courier New" w:hAnsi="Courier New" w:cs="Courier New" w:hint="default"/>
      </w:rPr>
    </w:lvl>
    <w:lvl w:ilvl="8" w:tplc="04160005" w:tentative="1">
      <w:start w:val="1"/>
      <w:numFmt w:val="bullet"/>
      <w:lvlText w:val=""/>
      <w:lvlJc w:val="left"/>
      <w:pPr>
        <w:ind w:left="6541" w:hanging="360"/>
      </w:pPr>
      <w:rPr>
        <w:rFonts w:ascii="Wingdings" w:hAnsi="Wingdings" w:hint="default"/>
      </w:rPr>
    </w:lvl>
  </w:abstractNum>
  <w:abstractNum w:abstractNumId="25">
    <w:nsid w:val="53884441"/>
    <w:multiLevelType w:val="hybridMultilevel"/>
    <w:tmpl w:val="5AB2E62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544A7102"/>
    <w:multiLevelType w:val="hybridMultilevel"/>
    <w:tmpl w:val="3990A170"/>
    <w:lvl w:ilvl="0" w:tplc="F502D87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BD0B10"/>
    <w:multiLevelType w:val="hybridMultilevel"/>
    <w:tmpl w:val="25800FF0"/>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8">
    <w:nsid w:val="61900E6F"/>
    <w:multiLevelType w:val="multilevel"/>
    <w:tmpl w:val="B7C0D4C4"/>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232751A"/>
    <w:multiLevelType w:val="hybridMultilevel"/>
    <w:tmpl w:val="8A06701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631F5B24"/>
    <w:multiLevelType w:val="hybridMultilevel"/>
    <w:tmpl w:val="84CCF3F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nsid w:val="6BEB5C24"/>
    <w:multiLevelType w:val="multilevel"/>
    <w:tmpl w:val="5AC8FFFA"/>
    <w:lvl w:ilvl="0">
      <w:start w:val="22"/>
      <w:numFmt w:val="decimal"/>
      <w:lvlText w:val="%1"/>
      <w:lvlJc w:val="left"/>
      <w:pPr>
        <w:tabs>
          <w:tab w:val="num" w:pos="465"/>
        </w:tabs>
        <w:ind w:left="465" w:hanging="465"/>
      </w:pPr>
      <w:rPr>
        <w:rFonts w:hint="default"/>
      </w:rPr>
    </w:lvl>
    <w:lvl w:ilvl="1">
      <w:start w:val="1"/>
      <w:numFmt w:val="decimal"/>
      <w:lvlText w:val="%1.%2"/>
      <w:lvlJc w:val="left"/>
      <w:pPr>
        <w:tabs>
          <w:tab w:val="num" w:pos="462"/>
        </w:tabs>
        <w:ind w:left="462" w:hanging="465"/>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1071"/>
        </w:tabs>
        <w:ind w:left="1071" w:hanging="108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425"/>
        </w:tabs>
        <w:ind w:left="1425" w:hanging="144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779"/>
        </w:tabs>
        <w:ind w:left="1779" w:hanging="1800"/>
      </w:pPr>
      <w:rPr>
        <w:rFonts w:hint="default"/>
      </w:rPr>
    </w:lvl>
    <w:lvl w:ilvl="8">
      <w:start w:val="1"/>
      <w:numFmt w:val="decimal"/>
      <w:lvlText w:val="%1.%2.%3.%4.%5.%6.%7.%8.%9"/>
      <w:lvlJc w:val="left"/>
      <w:pPr>
        <w:tabs>
          <w:tab w:val="num" w:pos="1776"/>
        </w:tabs>
        <w:ind w:left="1776" w:hanging="1800"/>
      </w:pPr>
      <w:rPr>
        <w:rFonts w:hint="default"/>
      </w:rPr>
    </w:lvl>
  </w:abstractNum>
  <w:abstractNum w:abstractNumId="32">
    <w:nsid w:val="6FE5009C"/>
    <w:multiLevelType w:val="hybridMultilevel"/>
    <w:tmpl w:val="20B4095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04E1E69"/>
    <w:multiLevelType w:val="hybridMultilevel"/>
    <w:tmpl w:val="ACEEC26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71AC2AC0"/>
    <w:multiLevelType w:val="hybridMultilevel"/>
    <w:tmpl w:val="61069316"/>
    <w:lvl w:ilvl="0" w:tplc="04160019">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F721D1B"/>
    <w:multiLevelType w:val="hybridMultilevel"/>
    <w:tmpl w:val="A2E00C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1"/>
  </w:num>
  <w:num w:numId="8">
    <w:abstractNumId w:val="31"/>
  </w:num>
  <w:num w:numId="9">
    <w:abstractNumId w:val="28"/>
  </w:num>
  <w:num w:numId="10">
    <w:abstractNumId w:val="34"/>
  </w:num>
  <w:num w:numId="11">
    <w:abstractNumId w:val="12"/>
  </w:num>
  <w:num w:numId="12">
    <w:abstractNumId w:val="7"/>
  </w:num>
  <w:num w:numId="13">
    <w:abstractNumId w:val="9"/>
  </w:num>
  <w:num w:numId="14">
    <w:abstractNumId w:val="25"/>
  </w:num>
  <w:num w:numId="15">
    <w:abstractNumId w:val="22"/>
  </w:num>
  <w:num w:numId="16">
    <w:abstractNumId w:val="8"/>
  </w:num>
  <w:num w:numId="17">
    <w:abstractNumId w:val="32"/>
  </w:num>
  <w:num w:numId="18">
    <w:abstractNumId w:val="29"/>
  </w:num>
  <w:num w:numId="19">
    <w:abstractNumId w:val="19"/>
  </w:num>
  <w:num w:numId="20">
    <w:abstractNumId w:val="14"/>
  </w:num>
  <w:num w:numId="21">
    <w:abstractNumId w:val="35"/>
  </w:num>
  <w:num w:numId="22">
    <w:abstractNumId w:val="6"/>
  </w:num>
  <w:num w:numId="23">
    <w:abstractNumId w:val="10"/>
  </w:num>
  <w:num w:numId="24">
    <w:abstractNumId w:val="16"/>
  </w:num>
  <w:num w:numId="25">
    <w:abstractNumId w:val="23"/>
  </w:num>
  <w:num w:numId="26">
    <w:abstractNumId w:val="15"/>
  </w:num>
  <w:num w:numId="27">
    <w:abstractNumId w:val="26"/>
  </w:num>
  <w:num w:numId="28">
    <w:abstractNumId w:val="11"/>
  </w:num>
  <w:num w:numId="29">
    <w:abstractNumId w:val="17"/>
  </w:num>
  <w:num w:numId="30">
    <w:abstractNumId w:val="33"/>
  </w:num>
  <w:num w:numId="31">
    <w:abstractNumId w:val="27"/>
  </w:num>
  <w:num w:numId="32">
    <w:abstractNumId w:val="30"/>
  </w:num>
  <w:num w:numId="33">
    <w:abstractNumId w:val="13"/>
  </w:num>
  <w:num w:numId="34">
    <w:abstractNumId w:val="18"/>
  </w:num>
  <w:num w:numId="35">
    <w:abstractNumId w:val="24"/>
  </w:num>
  <w:num w:numId="36">
    <w:abstractNumId w:val="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25"/>
    <o:shapelayout v:ext="edit">
      <o:idmap v:ext="edit" data="34"/>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25"/>
    <o:shapelayout v:ext="edit">
      <o:idmap v:ext="edit" data="1"/>
    </o:shapelayout>
  </w:shapeDefaults>
  <w:decimalSymbol w:val=","/>
  <w:listSeparator w:val=";"/>
  <w15:chartTrackingRefBased/>
  <w15:docId w15:val="{9CBBA2A9-76DE-4602-888D-7E56B1BB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ascii="Arial" w:eastAsia="Lucida Sans Unicode" w:hAnsi="Arial"/>
      <w:sz w:val="22"/>
      <w:lang w:eastAsia="ar-SA"/>
    </w:rPr>
  </w:style>
  <w:style w:type="paragraph" w:styleId="Ttulo1">
    <w:name w:val="heading 1"/>
    <w:basedOn w:val="Normal"/>
    <w:next w:val="Normal"/>
    <w:link w:val="Ttulo1Char"/>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rPr>
  </w:style>
  <w:style w:type="paragraph" w:styleId="Ttulo2">
    <w:name w:val="heading 2"/>
    <w:basedOn w:val="Normal"/>
    <w:next w:val="Normal"/>
    <w:link w:val="Ttulo2Char"/>
    <w:uiPriority w:val="99"/>
    <w:qFormat/>
    <w:pPr>
      <w:keepNext/>
      <w:tabs>
        <w:tab w:val="left" w:pos="11350"/>
      </w:tabs>
      <w:spacing w:line="200" w:lineRule="atLeast"/>
      <w:ind w:left="435"/>
      <w:outlineLvl w:val="1"/>
    </w:pPr>
    <w:rPr>
      <w:rFonts w:cs="Arial"/>
      <w:b/>
      <w:szCs w:val="22"/>
    </w:rPr>
  </w:style>
  <w:style w:type="paragraph" w:styleId="Ttulo3">
    <w:name w:val="heading 3"/>
    <w:basedOn w:val="Normal"/>
    <w:next w:val="Normal"/>
    <w:link w:val="Ttulo3Char"/>
    <w:qFormat/>
    <w:pPr>
      <w:keepNext/>
      <w:tabs>
        <w:tab w:val="left" w:pos="10915"/>
      </w:tabs>
      <w:spacing w:line="200" w:lineRule="atLeast"/>
      <w:ind w:left="426"/>
      <w:outlineLvl w:val="2"/>
    </w:pPr>
    <w:rPr>
      <w:rFonts w:cs="Arial"/>
      <w:b/>
      <w:szCs w:val="22"/>
    </w:rPr>
  </w:style>
  <w:style w:type="paragraph" w:styleId="Ttulo4">
    <w:name w:val="heading 4"/>
    <w:basedOn w:val="Normal"/>
    <w:next w:val="Normal"/>
    <w:link w:val="Ttulo4Char"/>
    <w:qFormat/>
    <w:pPr>
      <w:keepNext/>
      <w:ind w:left="709"/>
      <w:outlineLvl w:val="3"/>
    </w:pPr>
    <w:rPr>
      <w:rFonts w:cs="Arial"/>
      <w:b/>
      <w:szCs w:val="24"/>
    </w:rPr>
  </w:style>
  <w:style w:type="paragraph" w:styleId="Ttulo5">
    <w:name w:val="heading 5"/>
    <w:basedOn w:val="Normal"/>
    <w:next w:val="Normal"/>
    <w:qFormat/>
    <w:pPr>
      <w:keepNext/>
      <w:spacing w:line="200" w:lineRule="atLeast"/>
      <w:outlineLvl w:val="4"/>
    </w:pPr>
    <w:rPr>
      <w:b/>
      <w:sz w:val="23"/>
      <w:szCs w:val="23"/>
    </w:rPr>
  </w:style>
  <w:style w:type="paragraph" w:styleId="Ttulo6">
    <w:name w:val="heading 6"/>
    <w:basedOn w:val="Normal"/>
    <w:next w:val="Normal"/>
    <w:qFormat/>
    <w:pPr>
      <w:keepNext/>
      <w:numPr>
        <w:ilvl w:val="5"/>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70"/>
      <w:outlineLvl w:val="5"/>
    </w:pPr>
    <w:rPr>
      <w:b/>
    </w:rPr>
  </w:style>
  <w:style w:type="paragraph" w:styleId="Ttulo7">
    <w:name w:val="heading 7"/>
    <w:basedOn w:val="Normal"/>
    <w:next w:val="Normal"/>
    <w:qFormat/>
    <w:pPr>
      <w:keepNext/>
      <w:autoSpaceDE w:val="0"/>
      <w:snapToGrid w:val="0"/>
      <w:outlineLvl w:val="6"/>
    </w:pPr>
    <w:rPr>
      <w:rFonts w:cs="Arial"/>
      <w:b/>
      <w:bCs/>
      <w:color w:val="FF0000"/>
      <w:sz w:val="20"/>
    </w:rPr>
  </w:style>
  <w:style w:type="paragraph" w:styleId="Ttulo8">
    <w:name w:val="heading 8"/>
    <w:basedOn w:val="Normal"/>
    <w:next w:val="Normal"/>
    <w:qFormat/>
    <w:pPr>
      <w:keepNext/>
      <w:pBdr>
        <w:bottom w:val="single" w:sz="4" w:space="1" w:color="000000"/>
      </w:pBdr>
      <w:autoSpaceDE w:val="0"/>
      <w:snapToGrid w:val="0"/>
      <w:jc w:val="center"/>
      <w:outlineLvl w:val="7"/>
    </w:pPr>
    <w:rPr>
      <w:rFonts w:cs="Arial"/>
      <w:b/>
      <w:bCs/>
      <w:sz w:val="20"/>
    </w:rPr>
  </w:style>
  <w:style w:type="paragraph" w:styleId="Ttulo9">
    <w:name w:val="heading 9"/>
    <w:basedOn w:val="Normal"/>
    <w:next w:val="Normal"/>
    <w:qFormat/>
    <w:pPr>
      <w:keepNext/>
      <w:numPr>
        <w:ilvl w:val="8"/>
        <w:numId w:val="1"/>
      </w:numPr>
      <w:tabs>
        <w:tab w:val="left" w:pos="10915"/>
      </w:tabs>
      <w:ind w:left="426"/>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Pr>
      <w:rFonts w:ascii="Arial" w:eastAsia="Lucida Sans Unicode" w:hAnsi="Arial"/>
      <w:b/>
      <w:sz w:val="22"/>
      <w:lang w:eastAsia="ar-SA"/>
    </w:rPr>
  </w:style>
  <w:style w:type="character" w:customStyle="1" w:styleId="Ttulo2Char">
    <w:name w:val="Título 2 Char"/>
    <w:link w:val="Ttulo2"/>
    <w:uiPriority w:val="99"/>
    <w:locked/>
    <w:rPr>
      <w:rFonts w:ascii="Arial" w:eastAsia="Lucida Sans Unicode" w:hAnsi="Arial" w:cs="Arial"/>
      <w:b/>
      <w:sz w:val="22"/>
      <w:szCs w:val="22"/>
      <w:lang w:eastAsia="ar-SA"/>
    </w:rPr>
  </w:style>
  <w:style w:type="character" w:customStyle="1" w:styleId="Ttulo3Char">
    <w:name w:val="Título 3 Char"/>
    <w:basedOn w:val="Fontepargpadro"/>
    <w:link w:val="Ttulo3"/>
    <w:rPr>
      <w:rFonts w:ascii="Arial" w:eastAsia="Lucida Sans Unicode" w:hAnsi="Arial" w:cs="Arial"/>
      <w:b/>
      <w:sz w:val="22"/>
      <w:szCs w:val="22"/>
      <w:lang w:eastAsia="ar-SA"/>
    </w:rPr>
  </w:style>
  <w:style w:type="character" w:customStyle="1" w:styleId="Ttulo4Char">
    <w:name w:val="Título 4 Char"/>
    <w:basedOn w:val="Fontepargpadro"/>
    <w:link w:val="Ttulo4"/>
    <w:rPr>
      <w:rFonts w:ascii="Arial" w:eastAsia="Lucida Sans Unicode" w:hAnsi="Arial" w:cs="Arial"/>
      <w:b/>
      <w:sz w:val="22"/>
      <w:szCs w:val="24"/>
      <w:lang w:eastAsia="ar-SA"/>
    </w:rPr>
  </w:style>
  <w:style w:type="character" w:customStyle="1" w:styleId="WW8Num2z0">
    <w:name w:val="WW8Num2z0"/>
    <w:rPr>
      <w:b/>
    </w:rPr>
  </w:style>
  <w:style w:type="character" w:customStyle="1" w:styleId="WW8Num3z0">
    <w:name w:val="WW8Num3z0"/>
    <w:rPr>
      <w:rFonts w:ascii="Symbol" w:hAnsi="Symbol"/>
      <w:color w:val="auto"/>
    </w:rPr>
  </w:style>
  <w:style w:type="character" w:customStyle="1" w:styleId="WW8Num4z0">
    <w:name w:val="WW8Num4z0"/>
    <w:rPr>
      <w:rFonts w:ascii="Wingdings" w:hAnsi="Wingdings"/>
      <w:sz w:val="24"/>
    </w:rPr>
  </w:style>
  <w:style w:type="character" w:customStyle="1" w:styleId="Absatz-Standardschriftart">
    <w:name w:val="Absatz-Standardschriftart"/>
  </w:style>
  <w:style w:type="character" w:customStyle="1" w:styleId="Fontepargpadro1">
    <w:name w:val="Fonte parág. padrão1"/>
    <w:semiHidden/>
  </w:style>
  <w:style w:type="character" w:customStyle="1" w:styleId="WW-Absatz-Standardschriftart">
    <w:name w:val="WW-Absatz-Standardschriftart"/>
  </w:style>
  <w:style w:type="character" w:customStyle="1" w:styleId="WW-Fontepargpadro">
    <w:name w:val="WW-Fonte parág. padrão"/>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Fontepargpadro1">
    <w:name w:val="WW-Fonte parág. padrão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b/>
    </w:rPr>
  </w:style>
  <w:style w:type="character" w:customStyle="1" w:styleId="WW-Absatz-Standardschriftart11111111111">
    <w:name w:val="WW-Absatz-Standardschriftart11111111111"/>
  </w:style>
  <w:style w:type="character" w:customStyle="1" w:styleId="WW8Num6z0">
    <w:name w:val="WW8Num6z0"/>
    <w:rPr>
      <w:rFonts w:ascii="Wingdings" w:hAnsi="Wingdings"/>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Arial" w:hAnsi="Arial"/>
      <w:b/>
      <w:i w:val="0"/>
    </w:rPr>
  </w:style>
  <w:style w:type="character" w:customStyle="1" w:styleId="WW-Fontepargpadro11">
    <w:name w:val="WW-Fonte parág. padrão11"/>
  </w:style>
  <w:style w:type="character" w:customStyle="1" w:styleId="WW-Absatz-Standardschriftart111111111111">
    <w:name w:val="WW-Absatz-Standardschriftart111111111111"/>
  </w:style>
  <w:style w:type="character" w:customStyle="1" w:styleId="WW-WW8Num2z0">
    <w:name w:val="WW-WW8Num2z0"/>
    <w:rPr>
      <w:b/>
    </w:rPr>
  </w:style>
  <w:style w:type="character" w:customStyle="1" w:styleId="WW-Absatz-Standardschriftart1111111111111">
    <w:name w:val="WW-Absatz-Standardschriftart1111111111111"/>
  </w:style>
  <w:style w:type="character" w:customStyle="1" w:styleId="WW-WW8Num2z01">
    <w:name w:val="WW-WW8Num2z01"/>
    <w:rPr>
      <w:rFonts w:ascii="Times New Roman" w:hAnsi="Times New Roman"/>
      <w:b/>
      <w:i w:val="0"/>
      <w:sz w:val="24"/>
    </w:rPr>
  </w:style>
  <w:style w:type="character" w:customStyle="1" w:styleId="WW-Fontepargpadro111">
    <w:name w:val="WW-Fonte parág. padrão111"/>
  </w:style>
  <w:style w:type="character" w:customStyle="1" w:styleId="WW-WW8Num2z011">
    <w:name w:val="WW-WW8Num2z011"/>
    <w:rPr>
      <w:rFonts w:ascii="Times New Roman" w:hAnsi="Times New Roman"/>
      <w:b/>
      <w:i w:val="0"/>
      <w:sz w:val="24"/>
    </w:rPr>
  </w:style>
  <w:style w:type="character" w:customStyle="1" w:styleId="WW-Absatz-Standardschriftart11111111111111">
    <w:name w:val="WW-Absatz-Standardschriftart11111111111111"/>
  </w:style>
  <w:style w:type="character" w:customStyle="1" w:styleId="WW-WW8Num2z0111">
    <w:name w:val="WW-WW8Num2z0111"/>
    <w:rPr>
      <w:rFonts w:ascii="Times New Roman" w:hAnsi="Times New Roman"/>
      <w:b/>
      <w:i w:val="0"/>
      <w:sz w:val="24"/>
    </w:rPr>
  </w:style>
  <w:style w:type="character" w:customStyle="1" w:styleId="WW-Fontepargpadro1111">
    <w:name w:val="WW-Fonte parág. padrão1111"/>
  </w:style>
  <w:style w:type="character" w:customStyle="1" w:styleId="WW-WW8Num2z01111">
    <w:name w:val="WW-WW8Num2z01111"/>
    <w:rPr>
      <w:rFonts w:ascii="Times New Roman" w:hAnsi="Times New Roman"/>
      <w:b/>
      <w:i w:val="0"/>
      <w:sz w:val="24"/>
    </w:rPr>
  </w:style>
  <w:style w:type="character" w:customStyle="1" w:styleId="WW-Absatz-Standardschriftart111111111111111">
    <w:name w:val="WW-Absatz-Standardschriftart111111111111111"/>
  </w:style>
  <w:style w:type="character" w:customStyle="1" w:styleId="WW-WW8Num2z011111">
    <w:name w:val="WW-WW8Num2z011111"/>
    <w:rPr>
      <w:rFonts w:ascii="Times New Roman" w:hAnsi="Times New Roman"/>
      <w:b/>
      <w:i w:val="0"/>
      <w:sz w:val="24"/>
    </w:rPr>
  </w:style>
  <w:style w:type="character" w:customStyle="1" w:styleId="WW-Absatz-Standardschriftart1111111111111111">
    <w:name w:val="WW-Absatz-Standardschriftart1111111111111111"/>
  </w:style>
  <w:style w:type="character" w:customStyle="1" w:styleId="WW-WW8Num2z0111111">
    <w:name w:val="WW-WW8Num2z0111111"/>
    <w:rPr>
      <w:rFonts w:ascii="Times New Roman" w:hAnsi="Times New Roman"/>
      <w:b/>
      <w:i w:val="0"/>
      <w:sz w:val="24"/>
    </w:rPr>
  </w:style>
  <w:style w:type="character" w:customStyle="1" w:styleId="WW-WW8Num3z0">
    <w:name w:val="WW-WW8Num3z0"/>
    <w:rPr>
      <w:rFonts w:ascii="Symbol" w:hAnsi="Symbol"/>
      <w:color w:val="auto"/>
    </w:rPr>
  </w:style>
  <w:style w:type="character" w:customStyle="1" w:styleId="WW-Absatz-Standardschriftart11111111111111111">
    <w:name w:val="WW-Absatz-Standardschriftart11111111111111111"/>
  </w:style>
  <w:style w:type="character" w:customStyle="1" w:styleId="WW-WW8Num2z01111111">
    <w:name w:val="WW-WW8Num2z01111111"/>
    <w:rPr>
      <w:rFonts w:ascii="Times New Roman" w:hAnsi="Times New Roman"/>
      <w:b/>
      <w:i w:val="0"/>
      <w:sz w:val="24"/>
    </w:rPr>
  </w:style>
  <w:style w:type="character" w:customStyle="1" w:styleId="WW-WW8Num3z01">
    <w:name w:val="WW-WW8Num3z01"/>
    <w:rPr>
      <w:rFonts w:ascii="Symbol" w:hAnsi="Symbol"/>
      <w:color w:val="auto"/>
    </w:rPr>
  </w:style>
  <w:style w:type="character" w:customStyle="1" w:styleId="WW-Absatz-Standardschriftart111111111111111111">
    <w:name w:val="WW-Absatz-Standardschriftart111111111111111111"/>
  </w:style>
  <w:style w:type="character" w:customStyle="1" w:styleId="WW-WW8Num2z011111111">
    <w:name w:val="WW-WW8Num2z011111111"/>
    <w:rPr>
      <w:rFonts w:ascii="Times New Roman" w:hAnsi="Times New Roman"/>
      <w:b/>
      <w:i w:val="0"/>
      <w:sz w:val="24"/>
    </w:rPr>
  </w:style>
  <w:style w:type="character" w:customStyle="1" w:styleId="WW-WW8Num3z011">
    <w:name w:val="WW-WW8Num3z011"/>
    <w:rPr>
      <w:rFonts w:ascii="Symbol" w:hAnsi="Symbol"/>
      <w:color w:val="auto"/>
    </w:rPr>
  </w:style>
  <w:style w:type="character" w:customStyle="1" w:styleId="WW-Absatz-Standardschriftart1111111111111111111">
    <w:name w:val="WW-Absatz-Standardschriftart1111111111111111111"/>
  </w:style>
  <w:style w:type="character" w:customStyle="1" w:styleId="WW-WW8Num2z0111111111">
    <w:name w:val="WW-WW8Num2z0111111111"/>
    <w:rPr>
      <w:rFonts w:ascii="Times New Roman" w:hAnsi="Times New Roman"/>
      <w:b/>
      <w:i w:val="0"/>
      <w:sz w:val="24"/>
    </w:rPr>
  </w:style>
  <w:style w:type="character" w:customStyle="1" w:styleId="WW-WW8Num3z0111">
    <w:name w:val="WW-WW8Num3z0111"/>
    <w:rPr>
      <w:rFonts w:ascii="Symbol" w:hAnsi="Symbol"/>
      <w:color w:val="auto"/>
    </w:rPr>
  </w:style>
  <w:style w:type="character" w:customStyle="1" w:styleId="WW-Absatz-Standardschriftart11111111111111111111">
    <w:name w:val="WW-Absatz-Standardschriftart11111111111111111111"/>
  </w:style>
  <w:style w:type="character" w:customStyle="1" w:styleId="WW8Num1z0">
    <w:name w:val="WW8Num1z0"/>
    <w:rPr>
      <w:rFonts w:ascii="Times New Roman" w:hAnsi="Times New Roman"/>
      <w:b/>
      <w:i w:val="0"/>
      <w:sz w:val="24"/>
    </w:rPr>
  </w:style>
  <w:style w:type="character" w:customStyle="1" w:styleId="Smbolosdenumerao">
    <w:name w:val="Símbolos de numeração"/>
  </w:style>
  <w:style w:type="character" w:customStyle="1" w:styleId="WW-Smbolosdenumerao">
    <w:name w:val="WW-Símbolos de numeração"/>
  </w:style>
  <w:style w:type="character" w:customStyle="1" w:styleId="WW-Smbolosdenumerao1">
    <w:name w:val="WW-Símbolos de numeração1"/>
  </w:style>
  <w:style w:type="character" w:customStyle="1" w:styleId="WW-Smbolosdenumerao11">
    <w:name w:val="WW-Símbolos de numeração11"/>
  </w:style>
  <w:style w:type="character" w:customStyle="1" w:styleId="WW-Smbolosdenumerao111">
    <w:name w:val="WW-Símbolos de numeração111"/>
  </w:style>
  <w:style w:type="character" w:customStyle="1" w:styleId="WW-Smbolosdenumerao1111">
    <w:name w:val="WW-Símbolos de numeração1111"/>
  </w:style>
  <w:style w:type="character" w:customStyle="1" w:styleId="WW-Smbolosdenumerao11111">
    <w:name w:val="WW-Símbolos de numeração11111"/>
  </w:style>
  <w:style w:type="character" w:customStyle="1" w:styleId="WW-Smbolosdenumerao111111">
    <w:name w:val="WW-Símbolos de numeração111111"/>
  </w:style>
  <w:style w:type="character" w:customStyle="1" w:styleId="WW-Smbolosdenumerao1111111">
    <w:name w:val="WW-Símbolos de numeração1111111"/>
  </w:style>
  <w:style w:type="character" w:customStyle="1" w:styleId="WW-Smbolosdenumerao11111111">
    <w:name w:val="WW-Símbolos de numeração11111111"/>
  </w:style>
  <w:style w:type="character" w:customStyle="1" w:styleId="WW-Smbolosdenumerao111111111">
    <w:name w:val="WW-Símbolos de numeração111111111"/>
  </w:style>
  <w:style w:type="character" w:customStyle="1" w:styleId="WW-Smbolosdenumerao1111111111">
    <w:name w:val="WW-Símbolos de numeração1111111111"/>
  </w:style>
  <w:style w:type="character" w:styleId="Forte">
    <w:name w:val="Strong"/>
    <w:qFormat/>
    <w:rPr>
      <w:b/>
      <w:bCs/>
    </w:rPr>
  </w:style>
  <w:style w:type="character" w:customStyle="1" w:styleId="WW-WW8Num3z01111">
    <w:name w:val="WW-WW8Num3z01111"/>
    <w:rPr>
      <w:rFonts w:ascii="Symbol" w:hAnsi="Symbol"/>
      <w:color w:val="auto"/>
    </w:rPr>
  </w:style>
  <w:style w:type="character" w:styleId="Nmerodepgina">
    <w:name w:val="page number"/>
    <w:basedOn w:val="WW-Fontepargpadro111"/>
    <w:semiHidden/>
  </w:style>
  <w:style w:type="character" w:customStyle="1" w:styleId="WW-Smbolosdenumerao11111111111">
    <w:name w:val="WW-Símbolos de numeração11111111111"/>
  </w:style>
  <w:style w:type="character" w:customStyle="1" w:styleId="WW-Smbolosdenumerao111111112">
    <w:name w:val="WW-Símbolos de numeração111111112"/>
  </w:style>
  <w:style w:type="paragraph" w:customStyle="1" w:styleId="Captulo">
    <w:name w:val="Capítulo"/>
    <w:basedOn w:val="Normal"/>
    <w:next w:val="Corpodetexto"/>
    <w:pPr>
      <w:keepNext/>
      <w:spacing w:before="240" w:after="120"/>
    </w:pPr>
    <w:rPr>
      <w:rFonts w:cs="Tahoma"/>
      <w:sz w:val="28"/>
      <w:szCs w:val="28"/>
    </w:rPr>
  </w:style>
  <w:style w:type="paragraph" w:styleId="Corpodetexto">
    <w:name w:val="Body Text"/>
    <w:basedOn w:val="Normal"/>
    <w:link w:val="CorpodetextoChar"/>
    <w:semiHidden/>
    <w:pPr>
      <w:spacing w:after="120"/>
    </w:pPr>
  </w:style>
  <w:style w:type="character" w:customStyle="1" w:styleId="CorpodetextoChar">
    <w:name w:val="Corpo de texto Char"/>
    <w:basedOn w:val="Fontepargpadro"/>
    <w:link w:val="Corpodetexto"/>
    <w:semiHidden/>
    <w:rPr>
      <w:rFonts w:eastAsia="Lucida Sans Unicode"/>
      <w:sz w:val="24"/>
      <w:lang w:eastAsia="ar-SA"/>
    </w:rPr>
  </w:style>
  <w:style w:type="paragraph" w:styleId="Lista">
    <w:name w:val="List"/>
    <w:basedOn w:val="Corpodetexto"/>
    <w:semiHidden/>
    <w:rPr>
      <w:rFonts w:cs="Tahoma"/>
    </w:rPr>
  </w:style>
  <w:style w:type="paragraph" w:styleId="Legenda">
    <w:name w:val="caption"/>
    <w:basedOn w:val="Normal"/>
    <w:qFormat/>
    <w:pPr>
      <w:suppressLineNumbers/>
      <w:spacing w:before="120" w:after="120"/>
    </w:pPr>
    <w:rPr>
      <w:rFonts w:cs="Tahoma"/>
      <w:i/>
      <w:iCs/>
      <w:sz w:val="20"/>
    </w:rPr>
  </w:style>
  <w:style w:type="paragraph" w:customStyle="1" w:styleId="ndice">
    <w:name w:val="Índice"/>
    <w:basedOn w:val="Normal"/>
    <w:pPr>
      <w:suppressLineNumbers/>
    </w:pPr>
    <w:rPr>
      <w:rFonts w:cs="Tahoma"/>
    </w:rPr>
  </w:style>
  <w:style w:type="paragraph" w:styleId="Ttulo">
    <w:name w:val="Title"/>
    <w:basedOn w:val="Normal"/>
    <w:next w:val="Corpodetexto"/>
    <w:qFormat/>
    <w:pPr>
      <w:keepNext/>
      <w:spacing w:before="240" w:after="120"/>
    </w:pPr>
    <w:rPr>
      <w:rFonts w:cs="Tahoma"/>
      <w:sz w:val="20"/>
      <w:szCs w:val="28"/>
    </w:rPr>
  </w:style>
  <w:style w:type="paragraph" w:styleId="Subttulo">
    <w:name w:val="Subtitle"/>
    <w:basedOn w:val="Ttulo"/>
    <w:next w:val="Corpodetexto"/>
    <w:qFormat/>
    <w:pPr>
      <w:jc w:val="center"/>
    </w:pPr>
    <w:rPr>
      <w:i/>
      <w:iCs/>
    </w:rPr>
  </w:style>
  <w:style w:type="paragraph" w:customStyle="1" w:styleId="WW-Ttulo">
    <w:name w:val="WW-Título"/>
    <w:basedOn w:val="Normal"/>
    <w:next w:val="Corpodetexto"/>
    <w:pPr>
      <w:keepNext/>
      <w:spacing w:before="240" w:after="120"/>
    </w:pPr>
    <w:rPr>
      <w:rFonts w:cs="Tahoma"/>
      <w:sz w:val="28"/>
      <w:szCs w:val="28"/>
    </w:rPr>
  </w:style>
  <w:style w:type="paragraph" w:customStyle="1" w:styleId="Legenda2">
    <w:name w:val="Legenda2"/>
    <w:basedOn w:val="Normal"/>
    <w:pPr>
      <w:suppressLineNumbers/>
      <w:spacing w:before="120" w:after="120"/>
    </w:pPr>
    <w:rPr>
      <w:rFonts w:cs="Tahoma"/>
      <w:i/>
      <w:iCs/>
      <w:sz w:val="20"/>
    </w:rPr>
  </w:style>
  <w:style w:type="paragraph" w:customStyle="1" w:styleId="Ttulo20">
    <w:name w:val="Título2"/>
    <w:basedOn w:val="Normal"/>
    <w:next w:val="Corpodetexto"/>
    <w:pPr>
      <w:keepNext/>
      <w:spacing w:before="240" w:after="120"/>
    </w:pPr>
    <w:rPr>
      <w:rFonts w:cs="Tahoma"/>
      <w:sz w:val="28"/>
      <w:szCs w:val="28"/>
    </w:rPr>
  </w:style>
  <w:style w:type="paragraph" w:customStyle="1" w:styleId="Legenda1">
    <w:name w:val="Legenda1"/>
    <w:basedOn w:val="Normal"/>
    <w:pPr>
      <w:suppressLineNumbers/>
      <w:spacing w:before="120" w:after="120"/>
    </w:pPr>
    <w:rPr>
      <w:rFonts w:cs="Tahoma"/>
      <w:i/>
      <w:iCs/>
      <w:sz w:val="20"/>
    </w:rPr>
  </w:style>
  <w:style w:type="paragraph" w:customStyle="1" w:styleId="Ttulo10">
    <w:name w:val="Título1"/>
    <w:basedOn w:val="Normal"/>
    <w:next w:val="Corpodetexto"/>
    <w:pPr>
      <w:keepNext/>
      <w:spacing w:before="240" w:after="120"/>
    </w:pPr>
    <w:rPr>
      <w:rFonts w:cs="Tahoma"/>
      <w:sz w:val="28"/>
      <w:szCs w:val="28"/>
    </w:rPr>
  </w:style>
  <w:style w:type="paragraph" w:customStyle="1" w:styleId="WW-Recuodecorpodetexto2">
    <w:name w:val="WW-Recuo de corpo de texto 2"/>
    <w:basedOn w:val="Normal"/>
    <w:pPr>
      <w:tabs>
        <w:tab w:val="left" w:pos="8647"/>
        <w:tab w:val="left" w:pos="10773"/>
      </w:tabs>
    </w:pPr>
    <w:rPr>
      <w:rFonts w:cs="Arial"/>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i/>
    </w:rPr>
  </w:style>
  <w:style w:type="paragraph" w:customStyle="1" w:styleId="WW-Recuodecorpodetexto21">
    <w:name w:val="WW-Recuo de corpo de texto 21"/>
    <w:basedOn w:val="Normal"/>
    <w:pPr>
      <w:tabs>
        <w:tab w:val="left" w:pos="10489"/>
      </w:tabs>
      <w:ind w:left="426"/>
    </w:pPr>
    <w:rPr>
      <w:color w:val="000000"/>
    </w:rPr>
  </w:style>
  <w:style w:type="paragraph" w:customStyle="1" w:styleId="WW-Recuodecorpodetexto31">
    <w:name w:val="WW-Recuo de corpo de texto 31"/>
    <w:basedOn w:val="Normal"/>
    <w:pPr>
      <w:ind w:left="450"/>
    </w:pPr>
  </w:style>
  <w:style w:type="paragraph" w:customStyle="1" w:styleId="WW-Textodebalo">
    <w:name w:val="WW-Texto de balão"/>
    <w:basedOn w:val="Normal"/>
    <w:rPr>
      <w:rFonts w:ascii="Tahoma" w:hAnsi="Tahoma" w:cs="Tahoma"/>
      <w:sz w:val="16"/>
      <w:szCs w:val="16"/>
    </w:rPr>
  </w:style>
  <w:style w:type="paragraph" w:customStyle="1" w:styleId="Corpodetexto21">
    <w:name w:val="Corpo de texto 21"/>
    <w:basedOn w:val="Normal"/>
    <w:pPr>
      <w:overflowPunct w:val="0"/>
      <w:autoSpaceDE w:val="0"/>
      <w:spacing w:line="240" w:lineRule="exact"/>
      <w:ind w:left="720" w:hanging="720"/>
      <w:textAlignment w:val="baseline"/>
    </w:pPr>
  </w:style>
  <w:style w:type="paragraph" w:styleId="Recuodecorpodetexto">
    <w:name w:val="Body Text Indent"/>
    <w:basedOn w:val="Normal"/>
    <w:semiHidden/>
    <w:pPr>
      <w:ind w:left="142"/>
    </w:pPr>
  </w:style>
  <w:style w:type="paragraph" w:customStyle="1" w:styleId="WW-Recuodecorpodetexto3">
    <w:name w:val="WW-Recuo de corpo de texto 3"/>
    <w:basedOn w:val="Normal"/>
    <w:pPr>
      <w:ind w:left="708"/>
    </w:pPr>
    <w:rPr>
      <w:rFonts w:cs="Arial"/>
    </w:rPr>
  </w:style>
  <w:style w:type="paragraph" w:customStyle="1" w:styleId="WW-Commarcadores3">
    <w:name w:val="WW-Com marcadores 3"/>
    <w:basedOn w:val="Normal"/>
    <w:pPr>
      <w:tabs>
        <w:tab w:val="left" w:pos="1134"/>
      </w:tabs>
      <w:overflowPunct w:val="0"/>
      <w:autoSpaceDE w:val="0"/>
      <w:ind w:left="1134" w:hanging="425"/>
      <w:textAlignment w:val="baseline"/>
    </w:pPr>
  </w:style>
  <w:style w:type="paragraph" w:customStyle="1" w:styleId="WW-Textodebalo1">
    <w:name w:val="WW-Texto de balão1"/>
    <w:basedOn w:val="Normal"/>
    <w:rPr>
      <w:rFonts w:ascii="Tahoma" w:hAnsi="Tahoma" w:cs="Tahoma"/>
      <w:sz w:val="16"/>
      <w:szCs w:val="16"/>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rPr>
      <w:rFonts w:eastAsia="Lucida Sans Unicode"/>
      <w:sz w:val="24"/>
      <w:lang w:eastAsia="ar-SA"/>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rPr>
      <w:rFonts w:eastAsia="Lucida Sans Unicode"/>
      <w:sz w:val="24"/>
      <w:lang w:eastAsia="ar-SA"/>
    </w:rPr>
  </w:style>
  <w:style w:type="paragraph" w:customStyle="1" w:styleId="Contedodamoldura">
    <w:name w:val="Conteúdo da moldura"/>
    <w:basedOn w:val="Corpodetexto"/>
  </w:style>
  <w:style w:type="paragraph" w:styleId="NormalWeb">
    <w:name w:val="Normal (Web)"/>
    <w:basedOn w:val="Normal"/>
    <w:uiPriority w:val="99"/>
    <w:pPr>
      <w:widowControl/>
      <w:suppressAutoHyphens w:val="0"/>
      <w:spacing w:before="100"/>
    </w:pPr>
    <w:rPr>
      <w:rFonts w:eastAsia="Times New Roman"/>
      <w:szCs w:val="24"/>
    </w:rPr>
  </w:style>
  <w:style w:type="paragraph" w:styleId="Corpodetexto2">
    <w:name w:val="Body Text 2"/>
    <w:basedOn w:val="Normal"/>
    <w:link w:val="Corpodetexto2Char"/>
    <w:semiHidden/>
    <w:pPr>
      <w:spacing w:line="200" w:lineRule="atLeast"/>
    </w:pPr>
    <w:rPr>
      <w:rFonts w:cs="Arial"/>
      <w:bCs/>
      <w:color w:val="FF0000"/>
      <w:szCs w:val="22"/>
    </w:rPr>
  </w:style>
  <w:style w:type="character" w:customStyle="1" w:styleId="Corpodetexto2Char">
    <w:name w:val="Corpo de texto 2 Char"/>
    <w:basedOn w:val="Fontepargpadro"/>
    <w:link w:val="Corpodetexto2"/>
    <w:semiHidden/>
    <w:rPr>
      <w:rFonts w:ascii="Arial" w:eastAsia="Lucida Sans Unicode" w:hAnsi="Arial" w:cs="Arial"/>
      <w:bCs/>
      <w:color w:val="FF0000"/>
      <w:sz w:val="22"/>
      <w:szCs w:val="22"/>
      <w:lang w:eastAsia="ar-SA"/>
    </w:rPr>
  </w:style>
  <w:style w:type="paragraph" w:styleId="Corpodetexto3">
    <w:name w:val="Body Text 3"/>
    <w:basedOn w:val="Normal"/>
    <w:semiHidden/>
    <w:pPr>
      <w:tabs>
        <w:tab w:val="left" w:pos="10915"/>
      </w:tabs>
      <w:spacing w:line="200" w:lineRule="atLeast"/>
    </w:pPr>
    <w:rPr>
      <w:bCs/>
    </w:rPr>
  </w:style>
  <w:style w:type="paragraph" w:styleId="Recuodecorpodetexto2">
    <w:name w:val="Body Text Indent 2"/>
    <w:basedOn w:val="Normal"/>
    <w:semiHidden/>
    <w:pPr>
      <w:tabs>
        <w:tab w:val="left" w:pos="851"/>
        <w:tab w:val="left" w:pos="10915"/>
      </w:tabs>
      <w:spacing w:line="200" w:lineRule="atLeast"/>
      <w:ind w:left="426"/>
    </w:pPr>
    <w:rPr>
      <w:rFonts w:cs="Arial"/>
      <w:szCs w:val="22"/>
    </w:rPr>
  </w:style>
  <w:style w:type="paragraph" w:styleId="Textodebalo">
    <w:name w:val="Balloon Text"/>
    <w:basedOn w:val="Normal"/>
    <w:rPr>
      <w:rFonts w:ascii="Tahoma" w:hAnsi="Tahoma" w:cs="Tahoma"/>
      <w:sz w:val="16"/>
      <w:szCs w:val="16"/>
    </w:rPr>
  </w:style>
  <w:style w:type="paragraph" w:styleId="Recuodecorpodetexto3">
    <w:name w:val="Body Text Indent 3"/>
    <w:basedOn w:val="Normal"/>
    <w:semiHidden/>
    <w:pPr>
      <w:ind w:left="567" w:hanging="567"/>
    </w:pPr>
    <w:rPr>
      <w:szCs w:val="24"/>
    </w:rPr>
  </w:style>
  <w:style w:type="paragraph" w:styleId="Textoembloco">
    <w:name w:val="Block Text"/>
    <w:basedOn w:val="Normal"/>
    <w:semiHidden/>
    <w:pPr>
      <w:widowControl/>
      <w:suppressAutoHyphens w:val="0"/>
      <w:spacing w:line="288" w:lineRule="auto"/>
      <w:ind w:left="1134" w:right="567" w:hanging="567"/>
    </w:pPr>
    <w:rPr>
      <w:rFonts w:eastAsia="Times New Roman" w:cs="Arial"/>
      <w:i/>
      <w:iCs/>
      <w:szCs w:val="24"/>
    </w:rPr>
  </w:style>
  <w:style w:type="paragraph" w:customStyle="1" w:styleId="Textoembloco1">
    <w:name w:val="Texto em bloco1"/>
    <w:basedOn w:val="Normal"/>
    <w:pPr>
      <w:widowControl/>
      <w:suppressAutoHyphens w:val="0"/>
      <w:overflowPunct w:val="0"/>
      <w:autoSpaceDE w:val="0"/>
      <w:ind w:left="709" w:right="-6"/>
      <w:textAlignment w:val="baseline"/>
    </w:pPr>
    <w:rPr>
      <w:rFonts w:eastAsia="Times New Roman"/>
      <w:szCs w:val="24"/>
    </w:rPr>
  </w:style>
  <w:style w:type="paragraph" w:customStyle="1" w:styleId="Recuodecorpodetexto31">
    <w:name w:val="Recuo de corpo de texto 31"/>
    <w:basedOn w:val="Normal"/>
    <w:pPr>
      <w:suppressAutoHyphens w:val="0"/>
      <w:overflowPunct w:val="0"/>
      <w:autoSpaceDE w:val="0"/>
      <w:ind w:left="706"/>
      <w:textAlignment w:val="baseline"/>
    </w:pPr>
    <w:rPr>
      <w:rFonts w:eastAsia="Times New Roman"/>
    </w:rPr>
  </w:style>
  <w:style w:type="paragraph" w:customStyle="1" w:styleId="xl24">
    <w:name w:val="xl24"/>
    <w:basedOn w:val="Normal"/>
    <w:pPr>
      <w:widowControl/>
      <w:suppressAutoHyphens w:val="0"/>
      <w:spacing w:before="100" w:beforeAutospacing="1" w:after="100" w:afterAutospacing="1"/>
    </w:pPr>
    <w:rPr>
      <w:rFonts w:eastAsia="Times New Roman"/>
      <w:szCs w:val="24"/>
      <w:lang w:eastAsia="pt-BR"/>
    </w:rPr>
  </w:style>
  <w:style w:type="paragraph" w:customStyle="1" w:styleId="xl25">
    <w:name w:val="xl25"/>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26">
    <w:name w:val="xl26"/>
    <w:basedOn w:val="Normal"/>
    <w:pPr>
      <w:widowControl/>
      <w:suppressAutoHyphens w:val="0"/>
      <w:spacing w:before="100" w:beforeAutospacing="1" w:after="100" w:afterAutospacing="1"/>
    </w:pPr>
    <w:rPr>
      <w:rFonts w:eastAsia="Times New Roman"/>
      <w:b/>
      <w:bCs/>
      <w:szCs w:val="24"/>
      <w:lang w:eastAsia="pt-BR"/>
    </w:rPr>
  </w:style>
  <w:style w:type="paragraph" w:customStyle="1" w:styleId="xl27">
    <w:name w:val="xl27"/>
    <w:basedOn w:val="Normal"/>
    <w:pPr>
      <w:widowControl/>
      <w:suppressAutoHyphens w:val="0"/>
      <w:spacing w:before="100" w:beforeAutospacing="1" w:after="100" w:afterAutospacing="1"/>
    </w:pPr>
    <w:rPr>
      <w:rFonts w:eastAsia="Times New Roman"/>
      <w:b/>
      <w:bCs/>
      <w:szCs w:val="24"/>
      <w:lang w:eastAsia="pt-BR"/>
    </w:rPr>
  </w:style>
  <w:style w:type="paragraph" w:customStyle="1" w:styleId="xl29">
    <w:name w:val="xl29"/>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30">
    <w:name w:val="xl30"/>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31">
    <w:name w:val="xl31"/>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32">
    <w:name w:val="xl32"/>
    <w:basedOn w:val="Normal"/>
    <w:pPr>
      <w:widowControl/>
      <w:pBdr>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33">
    <w:name w:val="xl33"/>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4">
    <w:name w:val="xl34"/>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35">
    <w:name w:val="xl35"/>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6">
    <w:name w:val="xl3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7">
    <w:name w:val="xl37"/>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38">
    <w:name w:val="xl38"/>
    <w:basedOn w:val="Normal"/>
    <w:pPr>
      <w:widowControl/>
      <w:suppressAutoHyphens w:val="0"/>
      <w:spacing w:before="100" w:beforeAutospacing="1" w:after="100" w:afterAutospacing="1"/>
      <w:jc w:val="right"/>
    </w:pPr>
    <w:rPr>
      <w:rFonts w:eastAsia="Times New Roman"/>
      <w:i/>
      <w:iCs/>
      <w:sz w:val="16"/>
      <w:szCs w:val="16"/>
      <w:lang w:eastAsia="pt-BR"/>
    </w:rPr>
  </w:style>
  <w:style w:type="paragraph" w:customStyle="1" w:styleId="xl39">
    <w:name w:val="xl39"/>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0">
    <w:name w:val="xl40"/>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41">
    <w:name w:val="xl41"/>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2">
    <w:name w:val="xl42"/>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3">
    <w:name w:val="xl43"/>
    <w:basedOn w:val="Normal"/>
    <w:pPr>
      <w:widowControl/>
      <w:suppressAutoHyphens w:val="0"/>
      <w:spacing w:before="100" w:beforeAutospacing="1" w:after="100" w:afterAutospacing="1"/>
      <w:textAlignment w:val="top"/>
    </w:pPr>
    <w:rPr>
      <w:rFonts w:eastAsia="Times New Roman"/>
      <w:sz w:val="16"/>
      <w:szCs w:val="16"/>
      <w:lang w:eastAsia="pt-BR"/>
    </w:rPr>
  </w:style>
  <w:style w:type="paragraph" w:customStyle="1" w:styleId="xl44">
    <w:name w:val="xl44"/>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5">
    <w:name w:val="xl45"/>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6">
    <w:name w:val="xl4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7">
    <w:name w:val="xl47"/>
    <w:basedOn w:val="Normal"/>
    <w:pPr>
      <w:widowControl/>
      <w:pBdr>
        <w:top w:val="single" w:sz="4" w:space="0" w:color="000000"/>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48">
    <w:name w:val="xl48"/>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9">
    <w:name w:val="xl49"/>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0">
    <w:name w:val="xl50"/>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51">
    <w:name w:val="xl51"/>
    <w:basedOn w:val="Normal"/>
    <w:pPr>
      <w:widowControl/>
      <w:pBdr>
        <w:bottom w:val="single" w:sz="4" w:space="0" w:color="000000"/>
      </w:pBdr>
      <w:suppressAutoHyphens w:val="0"/>
      <w:spacing w:before="100" w:beforeAutospacing="1" w:after="100" w:afterAutospacing="1"/>
      <w:jc w:val="right"/>
    </w:pPr>
    <w:rPr>
      <w:rFonts w:eastAsia="Times New Roman"/>
      <w:sz w:val="16"/>
      <w:szCs w:val="16"/>
      <w:lang w:eastAsia="pt-BR"/>
    </w:rPr>
  </w:style>
  <w:style w:type="paragraph" w:customStyle="1" w:styleId="xl52">
    <w:name w:val="xl52"/>
    <w:basedOn w:val="Normal"/>
    <w:pPr>
      <w:widowControl/>
      <w:pBdr>
        <w:top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3">
    <w:name w:val="xl53"/>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54">
    <w:name w:val="xl54"/>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5">
    <w:name w:val="xl55"/>
    <w:basedOn w:val="Normal"/>
    <w:pPr>
      <w:widowControl/>
      <w:pBdr>
        <w:bottom w:val="double" w:sz="6"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6">
    <w:name w:val="xl56"/>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28">
    <w:name w:val="xl28"/>
    <w:basedOn w:val="Normal"/>
    <w:pPr>
      <w:widowControl/>
      <w:pBdr>
        <w:bottom w:val="single" w:sz="4" w:space="0" w:color="000000"/>
      </w:pBdr>
      <w:suppressAutoHyphens w:val="0"/>
      <w:spacing w:before="100" w:beforeAutospacing="1" w:after="100" w:afterAutospacing="1"/>
      <w:jc w:val="right"/>
    </w:pPr>
    <w:rPr>
      <w:rFonts w:eastAsia="Times New Roman"/>
      <w:b/>
      <w:bCs/>
      <w:szCs w:val="24"/>
      <w:lang w:eastAsia="pt-BR"/>
    </w:rPr>
  </w:style>
  <w:style w:type="paragraph" w:styleId="MapadoDocumento">
    <w:name w:val="Document Map"/>
    <w:basedOn w:val="Normal"/>
    <w:semiHidden/>
    <w:pPr>
      <w:shd w:val="clear" w:color="auto" w:fill="000080"/>
    </w:pPr>
    <w:rPr>
      <w:rFonts w:ascii="Tahoma" w:hAnsi="Tahoma" w:cs="Tahoma"/>
    </w:rPr>
  </w:style>
  <w:style w:type="paragraph" w:styleId="TextosemFormatao">
    <w:name w:val="Plain Text"/>
    <w:basedOn w:val="Normal"/>
    <w:link w:val="TextosemFormataoChar"/>
    <w:semiHidden/>
    <w:pPr>
      <w:widowControl/>
      <w:suppressAutoHyphens w:val="0"/>
    </w:pPr>
    <w:rPr>
      <w:rFonts w:ascii="Courier New" w:eastAsia="Times New Roman" w:hAnsi="Courier New"/>
      <w:sz w:val="20"/>
      <w:lang w:eastAsia="pt-BR"/>
    </w:rPr>
  </w:style>
  <w:style w:type="character" w:customStyle="1" w:styleId="TextosemFormataoChar">
    <w:name w:val="Texto sem Formatação Char"/>
    <w:basedOn w:val="Fontepargpadro"/>
    <w:link w:val="TextosemFormatao"/>
    <w:semiHidden/>
    <w:rPr>
      <w:rFonts w:ascii="Courier New" w:hAnsi="Courier New"/>
    </w:rPr>
  </w:style>
  <w:style w:type="character" w:styleId="nfase">
    <w:name w:val="Emphasis"/>
    <w:qFormat/>
    <w:rPr>
      <w:i/>
      <w:iCs/>
    </w:rPr>
  </w:style>
  <w:style w:type="paragraph" w:customStyle="1" w:styleId="Standard">
    <w:name w:val="Standard"/>
    <w:pPr>
      <w:suppressAutoHyphens/>
      <w:autoSpaceDN w:val="0"/>
      <w:jc w:val="both"/>
      <w:textAlignment w:val="baseline"/>
    </w:pPr>
    <w:rPr>
      <w:rFonts w:ascii="Arial" w:hAnsi="Arial"/>
      <w:kern w:val="3"/>
      <w:sz w:val="22"/>
      <w:szCs w:val="24"/>
      <w:lang w:eastAsia="zh-CN"/>
    </w:rPr>
  </w:style>
  <w:style w:type="paragraph" w:customStyle="1" w:styleId="Texto">
    <w:name w:val="Texto"/>
    <w:basedOn w:val="Corpodetexto"/>
    <w:pPr>
      <w:widowControl/>
      <w:suppressAutoHyphens w:val="0"/>
    </w:pPr>
    <w:rPr>
      <w:rFonts w:eastAsia="Times New Roman"/>
      <w:bCs/>
      <w:szCs w:val="24"/>
      <w:lang w:eastAsia="pt-BR"/>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
    <w:uiPriority w:val="99"/>
    <w:semiHidden/>
    <w:unhideWhenUsed/>
    <w:rPr>
      <w:sz w:val="20"/>
    </w:rPr>
  </w:style>
  <w:style w:type="character" w:customStyle="1" w:styleId="TextodecomentrioChar">
    <w:name w:val="Texto de comentário Char"/>
    <w:link w:val="Textodecomentrio"/>
    <w:uiPriority w:val="99"/>
    <w:semiHidden/>
    <w:rPr>
      <w:rFonts w:eastAsia="Lucida Sans Unicode"/>
      <w:lang w:eastAsia="ar-SA"/>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link w:val="Assuntodocomentrio"/>
    <w:uiPriority w:val="99"/>
    <w:semiHidden/>
    <w:rPr>
      <w:rFonts w:eastAsia="Lucida Sans Unicode"/>
      <w:b/>
      <w:bCs/>
      <w:lang w:eastAsia="ar-SA"/>
    </w:rPr>
  </w:style>
  <w:style w:type="paragraph" w:customStyle="1" w:styleId="Default">
    <w:name w:val="Default"/>
    <w:pPr>
      <w:autoSpaceDE w:val="0"/>
      <w:autoSpaceDN w:val="0"/>
      <w:adjustRightInd w:val="0"/>
    </w:pPr>
    <w:rPr>
      <w:rFonts w:eastAsia="MS Mincho"/>
      <w:color w:val="000000"/>
      <w:sz w:val="24"/>
      <w:szCs w:val="24"/>
    </w:rPr>
  </w:style>
  <w:style w:type="character" w:customStyle="1" w:styleId="object">
    <w:name w:val="object"/>
  </w:style>
  <w:style w:type="paragraph" w:styleId="PargrafodaLista">
    <w:name w:val="List Paragraph"/>
    <w:basedOn w:val="Normal"/>
    <w:uiPriority w:val="34"/>
    <w:qFormat/>
    <w:pPr>
      <w:ind w:left="720"/>
      <w:contextualSpacing/>
    </w:pPr>
  </w:style>
  <w:style w:type="table" w:styleId="Tabelacomgrade">
    <w:name w:val="Table Grid"/>
    <w:basedOn w:val="Tabelanormal"/>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qFormat/>
    <w:rPr>
      <w:rFonts w:ascii="Calibri" w:eastAsia="SimSun" w:hAnsi="Calibri" w:cs="Calibri"/>
      <w:sz w:val="22"/>
      <w:szCs w:val="22"/>
    </w:rPr>
  </w:style>
  <w:style w:type="paragraph" w:styleId="Reviso">
    <w:name w:val="Revision"/>
    <w:hidden/>
    <w:uiPriority w:val="99"/>
    <w:semiHidden/>
    <w:rPr>
      <w:rFonts w:eastAsia="Lucida Sans Unicode"/>
      <w:sz w:val="24"/>
      <w:lang w:eastAsia="ar-SA"/>
    </w:rPr>
  </w:style>
  <w:style w:type="character" w:customStyle="1" w:styleId="tgc">
    <w:name w:val="_tgc"/>
    <w:basedOn w:val="Fontepargpadro"/>
  </w:style>
  <w:style w:type="character" w:styleId="Hyperlink">
    <w:name w:val="Hyperlink"/>
    <w:basedOn w:val="Fontepargpadro"/>
    <w:uiPriority w:val="99"/>
    <w:unhideWhenUsed/>
    <w:rPr>
      <w:color w:val="0563C1" w:themeColor="hyperlink"/>
      <w:u w:val="none"/>
    </w:rPr>
  </w:style>
  <w:style w:type="character" w:styleId="HiperlinkVisitado">
    <w:name w:val="FollowedHyperlink"/>
    <w:basedOn w:val="Fontepargpadro"/>
    <w:uiPriority w:val="99"/>
    <w:semiHidden/>
    <w:unhideWhenUsed/>
    <w:rPr>
      <w:color w:val="954F72" w:themeColor="followedHyperlink"/>
      <w:u w:val="single"/>
    </w:rPr>
  </w:style>
  <w:style w:type="paragraph" w:customStyle="1" w:styleId="Estilo1">
    <w:name w:val="Estilo1"/>
    <w:basedOn w:val="Normal"/>
    <w:link w:val="Estilo1Char"/>
    <w:qFormat/>
    <w:pPr>
      <w:framePr w:hSpace="141" w:wrap="around" w:vAnchor="text" w:hAnchor="margin" w:y="-13"/>
    </w:pPr>
    <w:rPr>
      <w:rFonts w:cs="Arial"/>
      <w:b/>
      <w:bCs/>
      <w:color w:val="000000"/>
      <w:sz w:val="20"/>
    </w:rPr>
  </w:style>
  <w:style w:type="character" w:customStyle="1" w:styleId="Estilo1Char">
    <w:name w:val="Estilo1 Char"/>
    <w:basedOn w:val="Fontepargpadro"/>
    <w:link w:val="Estilo1"/>
    <w:rPr>
      <w:rFonts w:ascii="Arial" w:eastAsia="Lucida Sans Unicode" w:hAnsi="Arial" w:cs="Arial"/>
      <w:b/>
      <w:bCs/>
      <w:color w:val="000000"/>
      <w:lang w:eastAsia="ar-SA"/>
    </w:rPr>
  </w:style>
  <w:style w:type="character" w:customStyle="1" w:styleId="MenoPendente1">
    <w:name w:val="Menção Pendente1"/>
    <w:basedOn w:val="Fontepargpadro"/>
    <w:uiPriority w:val="99"/>
    <w:semiHidden/>
    <w:unhideWhenUsed/>
    <w:rPr>
      <w:color w:val="605E5C"/>
      <w:shd w:val="clear" w:color="auto" w:fill="E1DFDD"/>
    </w:rPr>
  </w:style>
  <w:style w:type="paragraph" w:customStyle="1" w:styleId="Estilo2">
    <w:name w:val="Estilo2"/>
    <w:basedOn w:val="Ttulo4"/>
    <w:link w:val="Estilo2Char"/>
    <w:qFormat/>
  </w:style>
  <w:style w:type="character" w:customStyle="1" w:styleId="Estilo2Char">
    <w:name w:val="Estilo2 Char"/>
    <w:basedOn w:val="Ttulo4Char"/>
    <w:link w:val="Estilo2"/>
    <w:rPr>
      <w:rFonts w:ascii="Arial" w:eastAsia="Lucida Sans Unicode" w:hAnsi="Arial" w:cs="Arial"/>
      <w:b/>
      <w:sz w:val="22"/>
      <w:szCs w:val="24"/>
      <w:lang w:eastAsia="ar-SA"/>
    </w:rPr>
  </w:style>
  <w:style w:type="paragraph" w:styleId="CabealhodoSumrio">
    <w:name w:val="TOC Heading"/>
    <w:basedOn w:val="Ttulo1"/>
    <w:next w:val="Normal"/>
    <w:uiPriority w:val="39"/>
    <w:unhideWhenUsed/>
    <w:qFormat/>
    <w:pPr>
      <w:keepLines/>
      <w:widowControl/>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lang w:eastAsia="pt-BR"/>
    </w:rPr>
  </w:style>
  <w:style w:type="paragraph" w:styleId="Sumrio1">
    <w:name w:val="toc 1"/>
    <w:basedOn w:val="Normal"/>
    <w:next w:val="Normal"/>
    <w:autoRedefine/>
    <w:uiPriority w:val="39"/>
    <w:unhideWhenUsed/>
    <w:pPr>
      <w:tabs>
        <w:tab w:val="left" w:pos="426"/>
        <w:tab w:val="right" w:leader="dot" w:pos="9627"/>
      </w:tabs>
      <w:spacing w:after="100"/>
    </w:pPr>
    <w:rPr>
      <w:rFonts w:asciiTheme="minorHAnsi" w:hAnsiTheme="minorHAnsi"/>
      <w:noProof/>
    </w:rPr>
  </w:style>
  <w:style w:type="paragraph" w:styleId="Sumrio2">
    <w:name w:val="toc 2"/>
    <w:basedOn w:val="Normal"/>
    <w:next w:val="Normal"/>
    <w:autoRedefine/>
    <w:uiPriority w:val="39"/>
    <w:unhideWhenUsed/>
    <w:pPr>
      <w:widowControl/>
      <w:suppressAutoHyphens w:val="0"/>
      <w:spacing w:after="100" w:line="259" w:lineRule="auto"/>
      <w:ind w:left="220"/>
    </w:pPr>
    <w:rPr>
      <w:rFonts w:asciiTheme="minorHAnsi" w:eastAsiaTheme="minorEastAsia" w:hAnsiTheme="minorHAnsi"/>
      <w:szCs w:val="22"/>
      <w:lang w:eastAsia="pt-BR"/>
    </w:rPr>
  </w:style>
  <w:style w:type="paragraph" w:styleId="Sumrio3">
    <w:name w:val="toc 3"/>
    <w:basedOn w:val="Normal"/>
    <w:next w:val="Normal"/>
    <w:autoRedefine/>
    <w:uiPriority w:val="39"/>
    <w:unhideWhenUsed/>
    <w:pPr>
      <w:widowControl/>
      <w:suppressAutoHyphens w:val="0"/>
      <w:spacing w:after="100" w:line="259" w:lineRule="auto"/>
      <w:ind w:left="440"/>
    </w:pPr>
    <w:rPr>
      <w:rFonts w:asciiTheme="minorHAnsi" w:eastAsiaTheme="minorEastAsia" w:hAnsiTheme="minorHAnsi"/>
      <w:szCs w:val="22"/>
      <w:lang w:eastAsia="pt-BR"/>
    </w:rPr>
  </w:style>
  <w:style w:type="paragraph" w:styleId="Sumrio4">
    <w:name w:val="toc 4"/>
    <w:basedOn w:val="Normal"/>
    <w:next w:val="Normal"/>
    <w:autoRedefine/>
    <w:uiPriority w:val="39"/>
    <w:unhideWhenUsed/>
    <w:pPr>
      <w:widowControl/>
      <w:suppressAutoHyphens w:val="0"/>
      <w:spacing w:after="100" w:line="259" w:lineRule="auto"/>
      <w:ind w:left="660"/>
      <w:jc w:val="left"/>
    </w:pPr>
    <w:rPr>
      <w:rFonts w:asciiTheme="minorHAnsi" w:eastAsiaTheme="minorEastAsia" w:hAnsiTheme="minorHAnsi" w:cstheme="minorBidi"/>
      <w:szCs w:val="22"/>
      <w:lang w:eastAsia="pt-BR"/>
    </w:rPr>
  </w:style>
  <w:style w:type="paragraph" w:styleId="Sumrio5">
    <w:name w:val="toc 5"/>
    <w:basedOn w:val="Normal"/>
    <w:next w:val="Normal"/>
    <w:autoRedefine/>
    <w:uiPriority w:val="39"/>
    <w:unhideWhenUsed/>
    <w:pPr>
      <w:widowControl/>
      <w:suppressAutoHyphens w:val="0"/>
      <w:spacing w:after="100" w:line="259" w:lineRule="auto"/>
      <w:ind w:left="880"/>
      <w:jc w:val="left"/>
    </w:pPr>
    <w:rPr>
      <w:rFonts w:asciiTheme="minorHAnsi" w:eastAsiaTheme="minorEastAsia" w:hAnsiTheme="minorHAnsi" w:cstheme="minorBidi"/>
      <w:szCs w:val="22"/>
      <w:lang w:eastAsia="pt-BR"/>
    </w:rPr>
  </w:style>
  <w:style w:type="paragraph" w:styleId="Sumrio6">
    <w:name w:val="toc 6"/>
    <w:basedOn w:val="Normal"/>
    <w:next w:val="Normal"/>
    <w:autoRedefine/>
    <w:uiPriority w:val="39"/>
    <w:unhideWhenUsed/>
    <w:pPr>
      <w:widowControl/>
      <w:suppressAutoHyphens w:val="0"/>
      <w:spacing w:after="100" w:line="259" w:lineRule="auto"/>
      <w:ind w:left="1100"/>
      <w:jc w:val="left"/>
    </w:pPr>
    <w:rPr>
      <w:rFonts w:asciiTheme="minorHAnsi" w:eastAsiaTheme="minorEastAsia" w:hAnsiTheme="minorHAnsi" w:cstheme="minorBidi"/>
      <w:szCs w:val="22"/>
      <w:lang w:eastAsia="pt-BR"/>
    </w:rPr>
  </w:style>
  <w:style w:type="paragraph" w:styleId="Sumrio7">
    <w:name w:val="toc 7"/>
    <w:basedOn w:val="Normal"/>
    <w:next w:val="Normal"/>
    <w:autoRedefine/>
    <w:uiPriority w:val="39"/>
    <w:unhideWhenUsed/>
    <w:pPr>
      <w:widowControl/>
      <w:suppressAutoHyphens w:val="0"/>
      <w:spacing w:after="100" w:line="259" w:lineRule="auto"/>
      <w:ind w:left="1320"/>
      <w:jc w:val="left"/>
    </w:pPr>
    <w:rPr>
      <w:rFonts w:asciiTheme="minorHAnsi" w:eastAsiaTheme="minorEastAsia" w:hAnsiTheme="minorHAnsi" w:cstheme="minorBidi"/>
      <w:szCs w:val="22"/>
      <w:lang w:eastAsia="pt-BR"/>
    </w:rPr>
  </w:style>
  <w:style w:type="paragraph" w:styleId="Sumrio8">
    <w:name w:val="toc 8"/>
    <w:basedOn w:val="Normal"/>
    <w:next w:val="Normal"/>
    <w:autoRedefine/>
    <w:uiPriority w:val="39"/>
    <w:unhideWhenUsed/>
    <w:pPr>
      <w:widowControl/>
      <w:suppressAutoHyphens w:val="0"/>
      <w:spacing w:after="100" w:line="259" w:lineRule="auto"/>
      <w:ind w:left="1540"/>
      <w:jc w:val="left"/>
    </w:pPr>
    <w:rPr>
      <w:rFonts w:asciiTheme="minorHAnsi" w:eastAsiaTheme="minorEastAsia" w:hAnsiTheme="minorHAnsi" w:cstheme="minorBidi"/>
      <w:szCs w:val="22"/>
      <w:lang w:eastAsia="pt-BR"/>
    </w:rPr>
  </w:style>
  <w:style w:type="paragraph" w:styleId="Sumrio9">
    <w:name w:val="toc 9"/>
    <w:basedOn w:val="Normal"/>
    <w:next w:val="Normal"/>
    <w:autoRedefine/>
    <w:uiPriority w:val="39"/>
    <w:unhideWhenUsed/>
    <w:pPr>
      <w:widowControl/>
      <w:suppressAutoHyphens w:val="0"/>
      <w:spacing w:after="100" w:line="259" w:lineRule="auto"/>
      <w:ind w:left="1760"/>
      <w:jc w:val="left"/>
    </w:pPr>
    <w:rPr>
      <w:rFonts w:asciiTheme="minorHAnsi" w:eastAsiaTheme="minorEastAsia" w:hAnsiTheme="minorHAnsi" w:cstheme="minorBidi"/>
      <w:szCs w:val="22"/>
      <w:lang w:eastAsia="pt-BR"/>
    </w:rPr>
  </w:style>
  <w:style w:type="table" w:customStyle="1" w:styleId="Estilo3">
    <w:name w:val="Estilo3"/>
    <w:basedOn w:val="TabeladaWeb1"/>
    <w:uiPriority w:val="9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b/>
        <w:color w:val="auto"/>
      </w:rPr>
      <w:tblPr/>
      <w:tcPr>
        <w:tcBorders>
          <w:bottom w:val="nil"/>
          <w:tl2br w:val="none" w:sz="0" w:space="0" w:color="auto"/>
          <w:tr2bl w:val="none" w:sz="0" w:space="0" w:color="auto"/>
        </w:tcBorders>
        <w:shd w:val="clear" w:color="auto" w:fill="auto"/>
      </w:tcPr>
    </w:tblStylePr>
    <w:tblStylePr w:type="lastRow">
      <w:rPr>
        <w:b/>
      </w:rPr>
    </w:tblStylePr>
    <w:tblStylePr w:type="firstCol">
      <w:pPr>
        <w:jc w:val="right"/>
      </w:pPr>
      <w:tblPr/>
      <w:tcPr>
        <w:vAlign w:val="center"/>
      </w:tcPr>
    </w:tblStylePr>
  </w:style>
  <w:style w:type="table" w:styleId="TabeladaWeb1">
    <w:name w:val="Table Web 1"/>
    <w:basedOn w:val="Tabelanormal"/>
    <w:uiPriority w:val="99"/>
    <w:semiHidden/>
    <w:unhideWhenUsed/>
    <w:pPr>
      <w:widowControl w:val="0"/>
      <w:suppressAutoHyphens/>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mples3">
    <w:name w:val="Plain Table 3"/>
    <w:basedOn w:val="Tabelanormal"/>
    <w:uiPriority w:val="4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deGrade3-nfase5">
    <w:name w:val="Grid Table 3 Accent 5"/>
    <w:basedOn w:val="Tabelanormal"/>
    <w:uiPriority w:val="48"/>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customStyle="1" w:styleId="WW-Corpodetexto2">
    <w:name w:val="WW-Corpo de texto 2"/>
    <w:basedOn w:val="Normal"/>
    <w:pPr>
      <w:widowControl/>
    </w:pPr>
    <w:rPr>
      <w:rFonts w:eastAsia="Times New Roman"/>
      <w:sz w:val="24"/>
      <w:szCs w:val="28"/>
    </w:rPr>
  </w:style>
  <w:style w:type="table" w:styleId="TabelaSimples5">
    <w:name w:val="Plain Table 5"/>
    <w:basedOn w:val="Tabelanormal"/>
    <w:uiPriority w:val="45"/>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rpodetexto1">
    <w:name w:val="Corpo de texto1"/>
    <w:basedOn w:val="Normal"/>
    <w:pPr>
      <w:spacing w:line="360" w:lineRule="auto"/>
    </w:pPr>
    <w:rPr>
      <w:rFonts w:eastAsia="Arial" w:cs="Arial"/>
      <w:kern w:val="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6775">
      <w:bodyDiv w:val="1"/>
      <w:marLeft w:val="0"/>
      <w:marRight w:val="0"/>
      <w:marTop w:val="0"/>
      <w:marBottom w:val="0"/>
      <w:divBdr>
        <w:top w:val="none" w:sz="0" w:space="0" w:color="auto"/>
        <w:left w:val="none" w:sz="0" w:space="0" w:color="auto"/>
        <w:bottom w:val="none" w:sz="0" w:space="0" w:color="auto"/>
        <w:right w:val="none" w:sz="0" w:space="0" w:color="auto"/>
      </w:divBdr>
    </w:div>
    <w:div w:id="115025344">
      <w:bodyDiv w:val="1"/>
      <w:marLeft w:val="0"/>
      <w:marRight w:val="0"/>
      <w:marTop w:val="0"/>
      <w:marBottom w:val="0"/>
      <w:divBdr>
        <w:top w:val="none" w:sz="0" w:space="0" w:color="auto"/>
        <w:left w:val="none" w:sz="0" w:space="0" w:color="auto"/>
        <w:bottom w:val="none" w:sz="0" w:space="0" w:color="auto"/>
        <w:right w:val="none" w:sz="0" w:space="0" w:color="auto"/>
      </w:divBdr>
    </w:div>
    <w:div w:id="134183727">
      <w:bodyDiv w:val="1"/>
      <w:marLeft w:val="0"/>
      <w:marRight w:val="0"/>
      <w:marTop w:val="0"/>
      <w:marBottom w:val="0"/>
      <w:divBdr>
        <w:top w:val="none" w:sz="0" w:space="0" w:color="auto"/>
        <w:left w:val="none" w:sz="0" w:space="0" w:color="auto"/>
        <w:bottom w:val="none" w:sz="0" w:space="0" w:color="auto"/>
        <w:right w:val="none" w:sz="0" w:space="0" w:color="auto"/>
      </w:divBdr>
    </w:div>
    <w:div w:id="146485129">
      <w:bodyDiv w:val="1"/>
      <w:marLeft w:val="0"/>
      <w:marRight w:val="0"/>
      <w:marTop w:val="0"/>
      <w:marBottom w:val="0"/>
      <w:divBdr>
        <w:top w:val="none" w:sz="0" w:space="0" w:color="auto"/>
        <w:left w:val="none" w:sz="0" w:space="0" w:color="auto"/>
        <w:bottom w:val="none" w:sz="0" w:space="0" w:color="auto"/>
        <w:right w:val="none" w:sz="0" w:space="0" w:color="auto"/>
      </w:divBdr>
    </w:div>
    <w:div w:id="159085959">
      <w:bodyDiv w:val="1"/>
      <w:marLeft w:val="0"/>
      <w:marRight w:val="0"/>
      <w:marTop w:val="0"/>
      <w:marBottom w:val="0"/>
      <w:divBdr>
        <w:top w:val="none" w:sz="0" w:space="0" w:color="auto"/>
        <w:left w:val="none" w:sz="0" w:space="0" w:color="auto"/>
        <w:bottom w:val="none" w:sz="0" w:space="0" w:color="auto"/>
        <w:right w:val="none" w:sz="0" w:space="0" w:color="auto"/>
      </w:divBdr>
    </w:div>
    <w:div w:id="166217752">
      <w:bodyDiv w:val="1"/>
      <w:marLeft w:val="0"/>
      <w:marRight w:val="0"/>
      <w:marTop w:val="0"/>
      <w:marBottom w:val="0"/>
      <w:divBdr>
        <w:top w:val="none" w:sz="0" w:space="0" w:color="auto"/>
        <w:left w:val="none" w:sz="0" w:space="0" w:color="auto"/>
        <w:bottom w:val="none" w:sz="0" w:space="0" w:color="auto"/>
        <w:right w:val="none" w:sz="0" w:space="0" w:color="auto"/>
      </w:divBdr>
    </w:div>
    <w:div w:id="170604090">
      <w:bodyDiv w:val="1"/>
      <w:marLeft w:val="0"/>
      <w:marRight w:val="0"/>
      <w:marTop w:val="0"/>
      <w:marBottom w:val="0"/>
      <w:divBdr>
        <w:top w:val="none" w:sz="0" w:space="0" w:color="auto"/>
        <w:left w:val="none" w:sz="0" w:space="0" w:color="auto"/>
        <w:bottom w:val="none" w:sz="0" w:space="0" w:color="auto"/>
        <w:right w:val="none" w:sz="0" w:space="0" w:color="auto"/>
      </w:divBdr>
    </w:div>
    <w:div w:id="258030074">
      <w:bodyDiv w:val="1"/>
      <w:marLeft w:val="0"/>
      <w:marRight w:val="0"/>
      <w:marTop w:val="0"/>
      <w:marBottom w:val="0"/>
      <w:divBdr>
        <w:top w:val="none" w:sz="0" w:space="0" w:color="auto"/>
        <w:left w:val="none" w:sz="0" w:space="0" w:color="auto"/>
        <w:bottom w:val="none" w:sz="0" w:space="0" w:color="auto"/>
        <w:right w:val="none" w:sz="0" w:space="0" w:color="auto"/>
      </w:divBdr>
    </w:div>
    <w:div w:id="276522640">
      <w:bodyDiv w:val="1"/>
      <w:marLeft w:val="0"/>
      <w:marRight w:val="0"/>
      <w:marTop w:val="0"/>
      <w:marBottom w:val="0"/>
      <w:divBdr>
        <w:top w:val="none" w:sz="0" w:space="0" w:color="auto"/>
        <w:left w:val="none" w:sz="0" w:space="0" w:color="auto"/>
        <w:bottom w:val="none" w:sz="0" w:space="0" w:color="auto"/>
        <w:right w:val="none" w:sz="0" w:space="0" w:color="auto"/>
      </w:divBdr>
    </w:div>
    <w:div w:id="292371773">
      <w:bodyDiv w:val="1"/>
      <w:marLeft w:val="0"/>
      <w:marRight w:val="0"/>
      <w:marTop w:val="0"/>
      <w:marBottom w:val="0"/>
      <w:divBdr>
        <w:top w:val="none" w:sz="0" w:space="0" w:color="auto"/>
        <w:left w:val="none" w:sz="0" w:space="0" w:color="auto"/>
        <w:bottom w:val="none" w:sz="0" w:space="0" w:color="auto"/>
        <w:right w:val="none" w:sz="0" w:space="0" w:color="auto"/>
      </w:divBdr>
    </w:div>
    <w:div w:id="299192997">
      <w:bodyDiv w:val="1"/>
      <w:marLeft w:val="0"/>
      <w:marRight w:val="0"/>
      <w:marTop w:val="0"/>
      <w:marBottom w:val="0"/>
      <w:divBdr>
        <w:top w:val="none" w:sz="0" w:space="0" w:color="auto"/>
        <w:left w:val="none" w:sz="0" w:space="0" w:color="auto"/>
        <w:bottom w:val="none" w:sz="0" w:space="0" w:color="auto"/>
        <w:right w:val="none" w:sz="0" w:space="0" w:color="auto"/>
      </w:divBdr>
    </w:div>
    <w:div w:id="310330178">
      <w:bodyDiv w:val="1"/>
      <w:marLeft w:val="0"/>
      <w:marRight w:val="0"/>
      <w:marTop w:val="0"/>
      <w:marBottom w:val="0"/>
      <w:divBdr>
        <w:top w:val="none" w:sz="0" w:space="0" w:color="auto"/>
        <w:left w:val="none" w:sz="0" w:space="0" w:color="auto"/>
        <w:bottom w:val="none" w:sz="0" w:space="0" w:color="auto"/>
        <w:right w:val="none" w:sz="0" w:space="0" w:color="auto"/>
      </w:divBdr>
    </w:div>
    <w:div w:id="321006934">
      <w:bodyDiv w:val="1"/>
      <w:marLeft w:val="0"/>
      <w:marRight w:val="0"/>
      <w:marTop w:val="0"/>
      <w:marBottom w:val="0"/>
      <w:divBdr>
        <w:top w:val="none" w:sz="0" w:space="0" w:color="auto"/>
        <w:left w:val="none" w:sz="0" w:space="0" w:color="auto"/>
        <w:bottom w:val="none" w:sz="0" w:space="0" w:color="auto"/>
        <w:right w:val="none" w:sz="0" w:space="0" w:color="auto"/>
      </w:divBdr>
    </w:div>
    <w:div w:id="336885880">
      <w:bodyDiv w:val="1"/>
      <w:marLeft w:val="0"/>
      <w:marRight w:val="0"/>
      <w:marTop w:val="0"/>
      <w:marBottom w:val="0"/>
      <w:divBdr>
        <w:top w:val="none" w:sz="0" w:space="0" w:color="auto"/>
        <w:left w:val="none" w:sz="0" w:space="0" w:color="auto"/>
        <w:bottom w:val="none" w:sz="0" w:space="0" w:color="auto"/>
        <w:right w:val="none" w:sz="0" w:space="0" w:color="auto"/>
      </w:divBdr>
    </w:div>
    <w:div w:id="338389955">
      <w:bodyDiv w:val="1"/>
      <w:marLeft w:val="0"/>
      <w:marRight w:val="0"/>
      <w:marTop w:val="0"/>
      <w:marBottom w:val="0"/>
      <w:divBdr>
        <w:top w:val="none" w:sz="0" w:space="0" w:color="auto"/>
        <w:left w:val="none" w:sz="0" w:space="0" w:color="auto"/>
        <w:bottom w:val="none" w:sz="0" w:space="0" w:color="auto"/>
        <w:right w:val="none" w:sz="0" w:space="0" w:color="auto"/>
      </w:divBdr>
    </w:div>
    <w:div w:id="343938970">
      <w:bodyDiv w:val="1"/>
      <w:marLeft w:val="0"/>
      <w:marRight w:val="0"/>
      <w:marTop w:val="0"/>
      <w:marBottom w:val="0"/>
      <w:divBdr>
        <w:top w:val="none" w:sz="0" w:space="0" w:color="auto"/>
        <w:left w:val="none" w:sz="0" w:space="0" w:color="auto"/>
        <w:bottom w:val="none" w:sz="0" w:space="0" w:color="auto"/>
        <w:right w:val="none" w:sz="0" w:space="0" w:color="auto"/>
      </w:divBdr>
    </w:div>
    <w:div w:id="357316363">
      <w:bodyDiv w:val="1"/>
      <w:marLeft w:val="0"/>
      <w:marRight w:val="0"/>
      <w:marTop w:val="0"/>
      <w:marBottom w:val="0"/>
      <w:divBdr>
        <w:top w:val="none" w:sz="0" w:space="0" w:color="auto"/>
        <w:left w:val="none" w:sz="0" w:space="0" w:color="auto"/>
        <w:bottom w:val="none" w:sz="0" w:space="0" w:color="auto"/>
        <w:right w:val="none" w:sz="0" w:space="0" w:color="auto"/>
      </w:divBdr>
    </w:div>
    <w:div w:id="424350954">
      <w:bodyDiv w:val="1"/>
      <w:marLeft w:val="0"/>
      <w:marRight w:val="0"/>
      <w:marTop w:val="0"/>
      <w:marBottom w:val="0"/>
      <w:divBdr>
        <w:top w:val="none" w:sz="0" w:space="0" w:color="auto"/>
        <w:left w:val="none" w:sz="0" w:space="0" w:color="auto"/>
        <w:bottom w:val="none" w:sz="0" w:space="0" w:color="auto"/>
        <w:right w:val="none" w:sz="0" w:space="0" w:color="auto"/>
      </w:divBdr>
    </w:div>
    <w:div w:id="426341951">
      <w:bodyDiv w:val="1"/>
      <w:marLeft w:val="0"/>
      <w:marRight w:val="0"/>
      <w:marTop w:val="0"/>
      <w:marBottom w:val="0"/>
      <w:divBdr>
        <w:top w:val="none" w:sz="0" w:space="0" w:color="auto"/>
        <w:left w:val="none" w:sz="0" w:space="0" w:color="auto"/>
        <w:bottom w:val="none" w:sz="0" w:space="0" w:color="auto"/>
        <w:right w:val="none" w:sz="0" w:space="0" w:color="auto"/>
      </w:divBdr>
    </w:div>
    <w:div w:id="445272228">
      <w:bodyDiv w:val="1"/>
      <w:marLeft w:val="0"/>
      <w:marRight w:val="0"/>
      <w:marTop w:val="0"/>
      <w:marBottom w:val="0"/>
      <w:divBdr>
        <w:top w:val="none" w:sz="0" w:space="0" w:color="auto"/>
        <w:left w:val="none" w:sz="0" w:space="0" w:color="auto"/>
        <w:bottom w:val="none" w:sz="0" w:space="0" w:color="auto"/>
        <w:right w:val="none" w:sz="0" w:space="0" w:color="auto"/>
      </w:divBdr>
    </w:div>
    <w:div w:id="461072171">
      <w:bodyDiv w:val="1"/>
      <w:marLeft w:val="0"/>
      <w:marRight w:val="0"/>
      <w:marTop w:val="0"/>
      <w:marBottom w:val="0"/>
      <w:divBdr>
        <w:top w:val="none" w:sz="0" w:space="0" w:color="auto"/>
        <w:left w:val="none" w:sz="0" w:space="0" w:color="auto"/>
        <w:bottom w:val="none" w:sz="0" w:space="0" w:color="auto"/>
        <w:right w:val="none" w:sz="0" w:space="0" w:color="auto"/>
      </w:divBdr>
    </w:div>
    <w:div w:id="462238820">
      <w:bodyDiv w:val="1"/>
      <w:marLeft w:val="0"/>
      <w:marRight w:val="0"/>
      <w:marTop w:val="0"/>
      <w:marBottom w:val="0"/>
      <w:divBdr>
        <w:top w:val="none" w:sz="0" w:space="0" w:color="auto"/>
        <w:left w:val="none" w:sz="0" w:space="0" w:color="auto"/>
        <w:bottom w:val="none" w:sz="0" w:space="0" w:color="auto"/>
        <w:right w:val="none" w:sz="0" w:space="0" w:color="auto"/>
      </w:divBdr>
    </w:div>
    <w:div w:id="488524070">
      <w:bodyDiv w:val="1"/>
      <w:marLeft w:val="0"/>
      <w:marRight w:val="0"/>
      <w:marTop w:val="0"/>
      <w:marBottom w:val="0"/>
      <w:divBdr>
        <w:top w:val="none" w:sz="0" w:space="0" w:color="auto"/>
        <w:left w:val="none" w:sz="0" w:space="0" w:color="auto"/>
        <w:bottom w:val="none" w:sz="0" w:space="0" w:color="auto"/>
        <w:right w:val="none" w:sz="0" w:space="0" w:color="auto"/>
      </w:divBdr>
    </w:div>
    <w:div w:id="489713122">
      <w:bodyDiv w:val="1"/>
      <w:marLeft w:val="0"/>
      <w:marRight w:val="0"/>
      <w:marTop w:val="0"/>
      <w:marBottom w:val="0"/>
      <w:divBdr>
        <w:top w:val="none" w:sz="0" w:space="0" w:color="auto"/>
        <w:left w:val="none" w:sz="0" w:space="0" w:color="auto"/>
        <w:bottom w:val="none" w:sz="0" w:space="0" w:color="auto"/>
        <w:right w:val="none" w:sz="0" w:space="0" w:color="auto"/>
      </w:divBdr>
    </w:div>
    <w:div w:id="518931819">
      <w:bodyDiv w:val="1"/>
      <w:marLeft w:val="0"/>
      <w:marRight w:val="0"/>
      <w:marTop w:val="0"/>
      <w:marBottom w:val="0"/>
      <w:divBdr>
        <w:top w:val="none" w:sz="0" w:space="0" w:color="auto"/>
        <w:left w:val="none" w:sz="0" w:space="0" w:color="auto"/>
        <w:bottom w:val="none" w:sz="0" w:space="0" w:color="auto"/>
        <w:right w:val="none" w:sz="0" w:space="0" w:color="auto"/>
      </w:divBdr>
    </w:div>
    <w:div w:id="531646433">
      <w:bodyDiv w:val="1"/>
      <w:marLeft w:val="0"/>
      <w:marRight w:val="0"/>
      <w:marTop w:val="0"/>
      <w:marBottom w:val="0"/>
      <w:divBdr>
        <w:top w:val="none" w:sz="0" w:space="0" w:color="auto"/>
        <w:left w:val="none" w:sz="0" w:space="0" w:color="auto"/>
        <w:bottom w:val="none" w:sz="0" w:space="0" w:color="auto"/>
        <w:right w:val="none" w:sz="0" w:space="0" w:color="auto"/>
      </w:divBdr>
    </w:div>
    <w:div w:id="549927311">
      <w:bodyDiv w:val="1"/>
      <w:marLeft w:val="0"/>
      <w:marRight w:val="0"/>
      <w:marTop w:val="0"/>
      <w:marBottom w:val="0"/>
      <w:divBdr>
        <w:top w:val="none" w:sz="0" w:space="0" w:color="auto"/>
        <w:left w:val="none" w:sz="0" w:space="0" w:color="auto"/>
        <w:bottom w:val="none" w:sz="0" w:space="0" w:color="auto"/>
        <w:right w:val="none" w:sz="0" w:space="0" w:color="auto"/>
      </w:divBdr>
    </w:div>
    <w:div w:id="557712154">
      <w:bodyDiv w:val="1"/>
      <w:marLeft w:val="0"/>
      <w:marRight w:val="0"/>
      <w:marTop w:val="0"/>
      <w:marBottom w:val="0"/>
      <w:divBdr>
        <w:top w:val="none" w:sz="0" w:space="0" w:color="auto"/>
        <w:left w:val="none" w:sz="0" w:space="0" w:color="auto"/>
        <w:bottom w:val="none" w:sz="0" w:space="0" w:color="auto"/>
        <w:right w:val="none" w:sz="0" w:space="0" w:color="auto"/>
      </w:divBdr>
    </w:div>
    <w:div w:id="568077244">
      <w:bodyDiv w:val="1"/>
      <w:marLeft w:val="0"/>
      <w:marRight w:val="0"/>
      <w:marTop w:val="0"/>
      <w:marBottom w:val="0"/>
      <w:divBdr>
        <w:top w:val="none" w:sz="0" w:space="0" w:color="auto"/>
        <w:left w:val="none" w:sz="0" w:space="0" w:color="auto"/>
        <w:bottom w:val="none" w:sz="0" w:space="0" w:color="auto"/>
        <w:right w:val="none" w:sz="0" w:space="0" w:color="auto"/>
      </w:divBdr>
    </w:div>
    <w:div w:id="574317696">
      <w:bodyDiv w:val="1"/>
      <w:marLeft w:val="0"/>
      <w:marRight w:val="0"/>
      <w:marTop w:val="0"/>
      <w:marBottom w:val="0"/>
      <w:divBdr>
        <w:top w:val="none" w:sz="0" w:space="0" w:color="auto"/>
        <w:left w:val="none" w:sz="0" w:space="0" w:color="auto"/>
        <w:bottom w:val="none" w:sz="0" w:space="0" w:color="auto"/>
        <w:right w:val="none" w:sz="0" w:space="0" w:color="auto"/>
      </w:divBdr>
    </w:div>
    <w:div w:id="578057078">
      <w:bodyDiv w:val="1"/>
      <w:marLeft w:val="0"/>
      <w:marRight w:val="0"/>
      <w:marTop w:val="0"/>
      <w:marBottom w:val="0"/>
      <w:divBdr>
        <w:top w:val="none" w:sz="0" w:space="0" w:color="auto"/>
        <w:left w:val="none" w:sz="0" w:space="0" w:color="auto"/>
        <w:bottom w:val="none" w:sz="0" w:space="0" w:color="auto"/>
        <w:right w:val="none" w:sz="0" w:space="0" w:color="auto"/>
      </w:divBdr>
    </w:div>
    <w:div w:id="582957653">
      <w:bodyDiv w:val="1"/>
      <w:marLeft w:val="0"/>
      <w:marRight w:val="0"/>
      <w:marTop w:val="0"/>
      <w:marBottom w:val="0"/>
      <w:divBdr>
        <w:top w:val="none" w:sz="0" w:space="0" w:color="auto"/>
        <w:left w:val="none" w:sz="0" w:space="0" w:color="auto"/>
        <w:bottom w:val="none" w:sz="0" w:space="0" w:color="auto"/>
        <w:right w:val="none" w:sz="0" w:space="0" w:color="auto"/>
      </w:divBdr>
    </w:div>
    <w:div w:id="586112940">
      <w:bodyDiv w:val="1"/>
      <w:marLeft w:val="0"/>
      <w:marRight w:val="0"/>
      <w:marTop w:val="0"/>
      <w:marBottom w:val="0"/>
      <w:divBdr>
        <w:top w:val="none" w:sz="0" w:space="0" w:color="auto"/>
        <w:left w:val="none" w:sz="0" w:space="0" w:color="auto"/>
        <w:bottom w:val="none" w:sz="0" w:space="0" w:color="auto"/>
        <w:right w:val="none" w:sz="0" w:space="0" w:color="auto"/>
      </w:divBdr>
    </w:div>
    <w:div w:id="587811199">
      <w:bodyDiv w:val="1"/>
      <w:marLeft w:val="0"/>
      <w:marRight w:val="0"/>
      <w:marTop w:val="0"/>
      <w:marBottom w:val="0"/>
      <w:divBdr>
        <w:top w:val="none" w:sz="0" w:space="0" w:color="auto"/>
        <w:left w:val="none" w:sz="0" w:space="0" w:color="auto"/>
        <w:bottom w:val="none" w:sz="0" w:space="0" w:color="auto"/>
        <w:right w:val="none" w:sz="0" w:space="0" w:color="auto"/>
      </w:divBdr>
    </w:div>
    <w:div w:id="604536747">
      <w:bodyDiv w:val="1"/>
      <w:marLeft w:val="0"/>
      <w:marRight w:val="0"/>
      <w:marTop w:val="0"/>
      <w:marBottom w:val="0"/>
      <w:divBdr>
        <w:top w:val="none" w:sz="0" w:space="0" w:color="auto"/>
        <w:left w:val="none" w:sz="0" w:space="0" w:color="auto"/>
        <w:bottom w:val="none" w:sz="0" w:space="0" w:color="auto"/>
        <w:right w:val="none" w:sz="0" w:space="0" w:color="auto"/>
      </w:divBdr>
    </w:div>
    <w:div w:id="607350483">
      <w:bodyDiv w:val="1"/>
      <w:marLeft w:val="0"/>
      <w:marRight w:val="0"/>
      <w:marTop w:val="0"/>
      <w:marBottom w:val="0"/>
      <w:divBdr>
        <w:top w:val="none" w:sz="0" w:space="0" w:color="auto"/>
        <w:left w:val="none" w:sz="0" w:space="0" w:color="auto"/>
        <w:bottom w:val="none" w:sz="0" w:space="0" w:color="auto"/>
        <w:right w:val="none" w:sz="0" w:space="0" w:color="auto"/>
      </w:divBdr>
    </w:div>
    <w:div w:id="614946487">
      <w:bodyDiv w:val="1"/>
      <w:marLeft w:val="0"/>
      <w:marRight w:val="0"/>
      <w:marTop w:val="0"/>
      <w:marBottom w:val="0"/>
      <w:divBdr>
        <w:top w:val="none" w:sz="0" w:space="0" w:color="auto"/>
        <w:left w:val="none" w:sz="0" w:space="0" w:color="auto"/>
        <w:bottom w:val="none" w:sz="0" w:space="0" w:color="auto"/>
        <w:right w:val="none" w:sz="0" w:space="0" w:color="auto"/>
      </w:divBdr>
    </w:div>
    <w:div w:id="627471682">
      <w:bodyDiv w:val="1"/>
      <w:marLeft w:val="0"/>
      <w:marRight w:val="0"/>
      <w:marTop w:val="0"/>
      <w:marBottom w:val="0"/>
      <w:divBdr>
        <w:top w:val="none" w:sz="0" w:space="0" w:color="auto"/>
        <w:left w:val="none" w:sz="0" w:space="0" w:color="auto"/>
        <w:bottom w:val="none" w:sz="0" w:space="0" w:color="auto"/>
        <w:right w:val="none" w:sz="0" w:space="0" w:color="auto"/>
      </w:divBdr>
    </w:div>
    <w:div w:id="627589612">
      <w:bodyDiv w:val="1"/>
      <w:marLeft w:val="0"/>
      <w:marRight w:val="0"/>
      <w:marTop w:val="0"/>
      <w:marBottom w:val="0"/>
      <w:divBdr>
        <w:top w:val="none" w:sz="0" w:space="0" w:color="auto"/>
        <w:left w:val="none" w:sz="0" w:space="0" w:color="auto"/>
        <w:bottom w:val="none" w:sz="0" w:space="0" w:color="auto"/>
        <w:right w:val="none" w:sz="0" w:space="0" w:color="auto"/>
      </w:divBdr>
    </w:div>
    <w:div w:id="684095950">
      <w:bodyDiv w:val="1"/>
      <w:marLeft w:val="0"/>
      <w:marRight w:val="0"/>
      <w:marTop w:val="0"/>
      <w:marBottom w:val="0"/>
      <w:divBdr>
        <w:top w:val="none" w:sz="0" w:space="0" w:color="auto"/>
        <w:left w:val="none" w:sz="0" w:space="0" w:color="auto"/>
        <w:bottom w:val="none" w:sz="0" w:space="0" w:color="auto"/>
        <w:right w:val="none" w:sz="0" w:space="0" w:color="auto"/>
      </w:divBdr>
    </w:div>
    <w:div w:id="715465852">
      <w:bodyDiv w:val="1"/>
      <w:marLeft w:val="0"/>
      <w:marRight w:val="0"/>
      <w:marTop w:val="0"/>
      <w:marBottom w:val="0"/>
      <w:divBdr>
        <w:top w:val="none" w:sz="0" w:space="0" w:color="auto"/>
        <w:left w:val="none" w:sz="0" w:space="0" w:color="auto"/>
        <w:bottom w:val="none" w:sz="0" w:space="0" w:color="auto"/>
        <w:right w:val="none" w:sz="0" w:space="0" w:color="auto"/>
      </w:divBdr>
    </w:div>
    <w:div w:id="733314973">
      <w:bodyDiv w:val="1"/>
      <w:marLeft w:val="0"/>
      <w:marRight w:val="0"/>
      <w:marTop w:val="0"/>
      <w:marBottom w:val="0"/>
      <w:divBdr>
        <w:top w:val="none" w:sz="0" w:space="0" w:color="auto"/>
        <w:left w:val="none" w:sz="0" w:space="0" w:color="auto"/>
        <w:bottom w:val="none" w:sz="0" w:space="0" w:color="auto"/>
        <w:right w:val="none" w:sz="0" w:space="0" w:color="auto"/>
      </w:divBdr>
    </w:div>
    <w:div w:id="744452372">
      <w:bodyDiv w:val="1"/>
      <w:marLeft w:val="0"/>
      <w:marRight w:val="0"/>
      <w:marTop w:val="0"/>
      <w:marBottom w:val="0"/>
      <w:divBdr>
        <w:top w:val="none" w:sz="0" w:space="0" w:color="auto"/>
        <w:left w:val="none" w:sz="0" w:space="0" w:color="auto"/>
        <w:bottom w:val="none" w:sz="0" w:space="0" w:color="auto"/>
        <w:right w:val="none" w:sz="0" w:space="0" w:color="auto"/>
      </w:divBdr>
    </w:div>
    <w:div w:id="751704608">
      <w:bodyDiv w:val="1"/>
      <w:marLeft w:val="0"/>
      <w:marRight w:val="0"/>
      <w:marTop w:val="0"/>
      <w:marBottom w:val="0"/>
      <w:divBdr>
        <w:top w:val="none" w:sz="0" w:space="0" w:color="auto"/>
        <w:left w:val="none" w:sz="0" w:space="0" w:color="auto"/>
        <w:bottom w:val="none" w:sz="0" w:space="0" w:color="auto"/>
        <w:right w:val="none" w:sz="0" w:space="0" w:color="auto"/>
      </w:divBdr>
    </w:div>
    <w:div w:id="768087153">
      <w:bodyDiv w:val="1"/>
      <w:marLeft w:val="0"/>
      <w:marRight w:val="0"/>
      <w:marTop w:val="0"/>
      <w:marBottom w:val="0"/>
      <w:divBdr>
        <w:top w:val="none" w:sz="0" w:space="0" w:color="auto"/>
        <w:left w:val="none" w:sz="0" w:space="0" w:color="auto"/>
        <w:bottom w:val="none" w:sz="0" w:space="0" w:color="auto"/>
        <w:right w:val="none" w:sz="0" w:space="0" w:color="auto"/>
      </w:divBdr>
    </w:div>
    <w:div w:id="769159153">
      <w:bodyDiv w:val="1"/>
      <w:marLeft w:val="0"/>
      <w:marRight w:val="0"/>
      <w:marTop w:val="0"/>
      <w:marBottom w:val="0"/>
      <w:divBdr>
        <w:top w:val="none" w:sz="0" w:space="0" w:color="auto"/>
        <w:left w:val="none" w:sz="0" w:space="0" w:color="auto"/>
        <w:bottom w:val="none" w:sz="0" w:space="0" w:color="auto"/>
        <w:right w:val="none" w:sz="0" w:space="0" w:color="auto"/>
      </w:divBdr>
    </w:div>
    <w:div w:id="784468312">
      <w:bodyDiv w:val="1"/>
      <w:marLeft w:val="0"/>
      <w:marRight w:val="0"/>
      <w:marTop w:val="0"/>
      <w:marBottom w:val="0"/>
      <w:divBdr>
        <w:top w:val="none" w:sz="0" w:space="0" w:color="auto"/>
        <w:left w:val="none" w:sz="0" w:space="0" w:color="auto"/>
        <w:bottom w:val="none" w:sz="0" w:space="0" w:color="auto"/>
        <w:right w:val="none" w:sz="0" w:space="0" w:color="auto"/>
      </w:divBdr>
    </w:div>
    <w:div w:id="804003564">
      <w:bodyDiv w:val="1"/>
      <w:marLeft w:val="0"/>
      <w:marRight w:val="0"/>
      <w:marTop w:val="0"/>
      <w:marBottom w:val="0"/>
      <w:divBdr>
        <w:top w:val="none" w:sz="0" w:space="0" w:color="auto"/>
        <w:left w:val="none" w:sz="0" w:space="0" w:color="auto"/>
        <w:bottom w:val="none" w:sz="0" w:space="0" w:color="auto"/>
        <w:right w:val="none" w:sz="0" w:space="0" w:color="auto"/>
      </w:divBdr>
    </w:div>
    <w:div w:id="830825829">
      <w:bodyDiv w:val="1"/>
      <w:marLeft w:val="0"/>
      <w:marRight w:val="0"/>
      <w:marTop w:val="0"/>
      <w:marBottom w:val="0"/>
      <w:divBdr>
        <w:top w:val="none" w:sz="0" w:space="0" w:color="auto"/>
        <w:left w:val="none" w:sz="0" w:space="0" w:color="auto"/>
        <w:bottom w:val="none" w:sz="0" w:space="0" w:color="auto"/>
        <w:right w:val="none" w:sz="0" w:space="0" w:color="auto"/>
      </w:divBdr>
    </w:div>
    <w:div w:id="831024186">
      <w:bodyDiv w:val="1"/>
      <w:marLeft w:val="0"/>
      <w:marRight w:val="0"/>
      <w:marTop w:val="0"/>
      <w:marBottom w:val="0"/>
      <w:divBdr>
        <w:top w:val="none" w:sz="0" w:space="0" w:color="auto"/>
        <w:left w:val="none" w:sz="0" w:space="0" w:color="auto"/>
        <w:bottom w:val="none" w:sz="0" w:space="0" w:color="auto"/>
        <w:right w:val="none" w:sz="0" w:space="0" w:color="auto"/>
      </w:divBdr>
    </w:div>
    <w:div w:id="833642559">
      <w:bodyDiv w:val="1"/>
      <w:marLeft w:val="0"/>
      <w:marRight w:val="0"/>
      <w:marTop w:val="0"/>
      <w:marBottom w:val="0"/>
      <w:divBdr>
        <w:top w:val="none" w:sz="0" w:space="0" w:color="auto"/>
        <w:left w:val="none" w:sz="0" w:space="0" w:color="auto"/>
        <w:bottom w:val="none" w:sz="0" w:space="0" w:color="auto"/>
        <w:right w:val="none" w:sz="0" w:space="0" w:color="auto"/>
      </w:divBdr>
    </w:div>
    <w:div w:id="848715639">
      <w:bodyDiv w:val="1"/>
      <w:marLeft w:val="0"/>
      <w:marRight w:val="0"/>
      <w:marTop w:val="0"/>
      <w:marBottom w:val="0"/>
      <w:divBdr>
        <w:top w:val="none" w:sz="0" w:space="0" w:color="auto"/>
        <w:left w:val="none" w:sz="0" w:space="0" w:color="auto"/>
        <w:bottom w:val="none" w:sz="0" w:space="0" w:color="auto"/>
        <w:right w:val="none" w:sz="0" w:space="0" w:color="auto"/>
      </w:divBdr>
    </w:div>
    <w:div w:id="852034418">
      <w:bodyDiv w:val="1"/>
      <w:marLeft w:val="0"/>
      <w:marRight w:val="0"/>
      <w:marTop w:val="0"/>
      <w:marBottom w:val="0"/>
      <w:divBdr>
        <w:top w:val="none" w:sz="0" w:space="0" w:color="auto"/>
        <w:left w:val="none" w:sz="0" w:space="0" w:color="auto"/>
        <w:bottom w:val="none" w:sz="0" w:space="0" w:color="auto"/>
        <w:right w:val="none" w:sz="0" w:space="0" w:color="auto"/>
      </w:divBdr>
    </w:div>
    <w:div w:id="895553002">
      <w:bodyDiv w:val="1"/>
      <w:marLeft w:val="0"/>
      <w:marRight w:val="0"/>
      <w:marTop w:val="0"/>
      <w:marBottom w:val="0"/>
      <w:divBdr>
        <w:top w:val="none" w:sz="0" w:space="0" w:color="auto"/>
        <w:left w:val="none" w:sz="0" w:space="0" w:color="auto"/>
        <w:bottom w:val="none" w:sz="0" w:space="0" w:color="auto"/>
        <w:right w:val="none" w:sz="0" w:space="0" w:color="auto"/>
      </w:divBdr>
    </w:div>
    <w:div w:id="962077368">
      <w:bodyDiv w:val="1"/>
      <w:marLeft w:val="0"/>
      <w:marRight w:val="0"/>
      <w:marTop w:val="0"/>
      <w:marBottom w:val="0"/>
      <w:divBdr>
        <w:top w:val="none" w:sz="0" w:space="0" w:color="auto"/>
        <w:left w:val="none" w:sz="0" w:space="0" w:color="auto"/>
        <w:bottom w:val="none" w:sz="0" w:space="0" w:color="auto"/>
        <w:right w:val="none" w:sz="0" w:space="0" w:color="auto"/>
      </w:divBdr>
    </w:div>
    <w:div w:id="978806264">
      <w:bodyDiv w:val="1"/>
      <w:marLeft w:val="0"/>
      <w:marRight w:val="0"/>
      <w:marTop w:val="0"/>
      <w:marBottom w:val="0"/>
      <w:divBdr>
        <w:top w:val="none" w:sz="0" w:space="0" w:color="auto"/>
        <w:left w:val="none" w:sz="0" w:space="0" w:color="auto"/>
        <w:bottom w:val="none" w:sz="0" w:space="0" w:color="auto"/>
        <w:right w:val="none" w:sz="0" w:space="0" w:color="auto"/>
      </w:divBdr>
    </w:div>
    <w:div w:id="995034936">
      <w:bodyDiv w:val="1"/>
      <w:marLeft w:val="0"/>
      <w:marRight w:val="0"/>
      <w:marTop w:val="0"/>
      <w:marBottom w:val="0"/>
      <w:divBdr>
        <w:top w:val="none" w:sz="0" w:space="0" w:color="auto"/>
        <w:left w:val="none" w:sz="0" w:space="0" w:color="auto"/>
        <w:bottom w:val="none" w:sz="0" w:space="0" w:color="auto"/>
        <w:right w:val="none" w:sz="0" w:space="0" w:color="auto"/>
      </w:divBdr>
    </w:div>
    <w:div w:id="995187767">
      <w:bodyDiv w:val="1"/>
      <w:marLeft w:val="0"/>
      <w:marRight w:val="0"/>
      <w:marTop w:val="0"/>
      <w:marBottom w:val="0"/>
      <w:divBdr>
        <w:top w:val="none" w:sz="0" w:space="0" w:color="auto"/>
        <w:left w:val="none" w:sz="0" w:space="0" w:color="auto"/>
        <w:bottom w:val="none" w:sz="0" w:space="0" w:color="auto"/>
        <w:right w:val="none" w:sz="0" w:space="0" w:color="auto"/>
      </w:divBdr>
    </w:div>
    <w:div w:id="1011688261">
      <w:bodyDiv w:val="1"/>
      <w:marLeft w:val="0"/>
      <w:marRight w:val="0"/>
      <w:marTop w:val="0"/>
      <w:marBottom w:val="0"/>
      <w:divBdr>
        <w:top w:val="none" w:sz="0" w:space="0" w:color="auto"/>
        <w:left w:val="none" w:sz="0" w:space="0" w:color="auto"/>
        <w:bottom w:val="none" w:sz="0" w:space="0" w:color="auto"/>
        <w:right w:val="none" w:sz="0" w:space="0" w:color="auto"/>
      </w:divBdr>
    </w:div>
    <w:div w:id="1041788648">
      <w:bodyDiv w:val="1"/>
      <w:marLeft w:val="0"/>
      <w:marRight w:val="0"/>
      <w:marTop w:val="0"/>
      <w:marBottom w:val="0"/>
      <w:divBdr>
        <w:top w:val="none" w:sz="0" w:space="0" w:color="auto"/>
        <w:left w:val="none" w:sz="0" w:space="0" w:color="auto"/>
        <w:bottom w:val="none" w:sz="0" w:space="0" w:color="auto"/>
        <w:right w:val="none" w:sz="0" w:space="0" w:color="auto"/>
      </w:divBdr>
    </w:div>
    <w:div w:id="1072508145">
      <w:bodyDiv w:val="1"/>
      <w:marLeft w:val="0"/>
      <w:marRight w:val="0"/>
      <w:marTop w:val="0"/>
      <w:marBottom w:val="0"/>
      <w:divBdr>
        <w:top w:val="none" w:sz="0" w:space="0" w:color="auto"/>
        <w:left w:val="none" w:sz="0" w:space="0" w:color="auto"/>
        <w:bottom w:val="none" w:sz="0" w:space="0" w:color="auto"/>
        <w:right w:val="none" w:sz="0" w:space="0" w:color="auto"/>
      </w:divBdr>
    </w:div>
    <w:div w:id="1152285896">
      <w:bodyDiv w:val="1"/>
      <w:marLeft w:val="0"/>
      <w:marRight w:val="0"/>
      <w:marTop w:val="0"/>
      <w:marBottom w:val="0"/>
      <w:divBdr>
        <w:top w:val="none" w:sz="0" w:space="0" w:color="auto"/>
        <w:left w:val="none" w:sz="0" w:space="0" w:color="auto"/>
        <w:bottom w:val="none" w:sz="0" w:space="0" w:color="auto"/>
        <w:right w:val="none" w:sz="0" w:space="0" w:color="auto"/>
      </w:divBdr>
    </w:div>
    <w:div w:id="1183976004">
      <w:bodyDiv w:val="1"/>
      <w:marLeft w:val="0"/>
      <w:marRight w:val="0"/>
      <w:marTop w:val="0"/>
      <w:marBottom w:val="0"/>
      <w:divBdr>
        <w:top w:val="none" w:sz="0" w:space="0" w:color="auto"/>
        <w:left w:val="none" w:sz="0" w:space="0" w:color="auto"/>
        <w:bottom w:val="none" w:sz="0" w:space="0" w:color="auto"/>
        <w:right w:val="none" w:sz="0" w:space="0" w:color="auto"/>
      </w:divBdr>
    </w:div>
    <w:div w:id="1220704298">
      <w:bodyDiv w:val="1"/>
      <w:marLeft w:val="0"/>
      <w:marRight w:val="0"/>
      <w:marTop w:val="0"/>
      <w:marBottom w:val="0"/>
      <w:divBdr>
        <w:top w:val="none" w:sz="0" w:space="0" w:color="auto"/>
        <w:left w:val="none" w:sz="0" w:space="0" w:color="auto"/>
        <w:bottom w:val="none" w:sz="0" w:space="0" w:color="auto"/>
        <w:right w:val="none" w:sz="0" w:space="0" w:color="auto"/>
      </w:divBdr>
    </w:div>
    <w:div w:id="1223371731">
      <w:bodyDiv w:val="1"/>
      <w:marLeft w:val="0"/>
      <w:marRight w:val="0"/>
      <w:marTop w:val="0"/>
      <w:marBottom w:val="0"/>
      <w:divBdr>
        <w:top w:val="none" w:sz="0" w:space="0" w:color="auto"/>
        <w:left w:val="none" w:sz="0" w:space="0" w:color="auto"/>
        <w:bottom w:val="none" w:sz="0" w:space="0" w:color="auto"/>
        <w:right w:val="none" w:sz="0" w:space="0" w:color="auto"/>
      </w:divBdr>
    </w:div>
    <w:div w:id="1267493973">
      <w:bodyDiv w:val="1"/>
      <w:marLeft w:val="0"/>
      <w:marRight w:val="0"/>
      <w:marTop w:val="0"/>
      <w:marBottom w:val="0"/>
      <w:divBdr>
        <w:top w:val="none" w:sz="0" w:space="0" w:color="auto"/>
        <w:left w:val="none" w:sz="0" w:space="0" w:color="auto"/>
        <w:bottom w:val="none" w:sz="0" w:space="0" w:color="auto"/>
        <w:right w:val="none" w:sz="0" w:space="0" w:color="auto"/>
      </w:divBdr>
    </w:div>
    <w:div w:id="1289555117">
      <w:bodyDiv w:val="1"/>
      <w:marLeft w:val="0"/>
      <w:marRight w:val="0"/>
      <w:marTop w:val="0"/>
      <w:marBottom w:val="0"/>
      <w:divBdr>
        <w:top w:val="none" w:sz="0" w:space="0" w:color="auto"/>
        <w:left w:val="none" w:sz="0" w:space="0" w:color="auto"/>
        <w:bottom w:val="none" w:sz="0" w:space="0" w:color="auto"/>
        <w:right w:val="none" w:sz="0" w:space="0" w:color="auto"/>
      </w:divBdr>
    </w:div>
    <w:div w:id="1308046759">
      <w:bodyDiv w:val="1"/>
      <w:marLeft w:val="0"/>
      <w:marRight w:val="0"/>
      <w:marTop w:val="0"/>
      <w:marBottom w:val="0"/>
      <w:divBdr>
        <w:top w:val="none" w:sz="0" w:space="0" w:color="auto"/>
        <w:left w:val="none" w:sz="0" w:space="0" w:color="auto"/>
        <w:bottom w:val="none" w:sz="0" w:space="0" w:color="auto"/>
        <w:right w:val="none" w:sz="0" w:space="0" w:color="auto"/>
      </w:divBdr>
    </w:div>
    <w:div w:id="1312637416">
      <w:bodyDiv w:val="1"/>
      <w:marLeft w:val="0"/>
      <w:marRight w:val="0"/>
      <w:marTop w:val="0"/>
      <w:marBottom w:val="0"/>
      <w:divBdr>
        <w:top w:val="none" w:sz="0" w:space="0" w:color="auto"/>
        <w:left w:val="none" w:sz="0" w:space="0" w:color="auto"/>
        <w:bottom w:val="none" w:sz="0" w:space="0" w:color="auto"/>
        <w:right w:val="none" w:sz="0" w:space="0" w:color="auto"/>
      </w:divBdr>
    </w:div>
    <w:div w:id="1355300175">
      <w:bodyDiv w:val="1"/>
      <w:marLeft w:val="0"/>
      <w:marRight w:val="0"/>
      <w:marTop w:val="0"/>
      <w:marBottom w:val="0"/>
      <w:divBdr>
        <w:top w:val="none" w:sz="0" w:space="0" w:color="auto"/>
        <w:left w:val="none" w:sz="0" w:space="0" w:color="auto"/>
        <w:bottom w:val="none" w:sz="0" w:space="0" w:color="auto"/>
        <w:right w:val="none" w:sz="0" w:space="0" w:color="auto"/>
      </w:divBdr>
    </w:div>
    <w:div w:id="1368212293">
      <w:bodyDiv w:val="1"/>
      <w:marLeft w:val="0"/>
      <w:marRight w:val="0"/>
      <w:marTop w:val="0"/>
      <w:marBottom w:val="0"/>
      <w:divBdr>
        <w:top w:val="none" w:sz="0" w:space="0" w:color="auto"/>
        <w:left w:val="none" w:sz="0" w:space="0" w:color="auto"/>
        <w:bottom w:val="none" w:sz="0" w:space="0" w:color="auto"/>
        <w:right w:val="none" w:sz="0" w:space="0" w:color="auto"/>
      </w:divBdr>
    </w:div>
    <w:div w:id="1412237047">
      <w:bodyDiv w:val="1"/>
      <w:marLeft w:val="0"/>
      <w:marRight w:val="0"/>
      <w:marTop w:val="0"/>
      <w:marBottom w:val="0"/>
      <w:divBdr>
        <w:top w:val="none" w:sz="0" w:space="0" w:color="auto"/>
        <w:left w:val="none" w:sz="0" w:space="0" w:color="auto"/>
        <w:bottom w:val="none" w:sz="0" w:space="0" w:color="auto"/>
        <w:right w:val="none" w:sz="0" w:space="0" w:color="auto"/>
      </w:divBdr>
    </w:div>
    <w:div w:id="1416784257">
      <w:bodyDiv w:val="1"/>
      <w:marLeft w:val="0"/>
      <w:marRight w:val="0"/>
      <w:marTop w:val="0"/>
      <w:marBottom w:val="0"/>
      <w:divBdr>
        <w:top w:val="none" w:sz="0" w:space="0" w:color="auto"/>
        <w:left w:val="none" w:sz="0" w:space="0" w:color="auto"/>
        <w:bottom w:val="none" w:sz="0" w:space="0" w:color="auto"/>
        <w:right w:val="none" w:sz="0" w:space="0" w:color="auto"/>
      </w:divBdr>
    </w:div>
    <w:div w:id="1433042858">
      <w:bodyDiv w:val="1"/>
      <w:marLeft w:val="0"/>
      <w:marRight w:val="0"/>
      <w:marTop w:val="0"/>
      <w:marBottom w:val="0"/>
      <w:divBdr>
        <w:top w:val="none" w:sz="0" w:space="0" w:color="auto"/>
        <w:left w:val="none" w:sz="0" w:space="0" w:color="auto"/>
        <w:bottom w:val="none" w:sz="0" w:space="0" w:color="auto"/>
        <w:right w:val="none" w:sz="0" w:space="0" w:color="auto"/>
      </w:divBdr>
    </w:div>
    <w:div w:id="1445609960">
      <w:bodyDiv w:val="1"/>
      <w:marLeft w:val="0"/>
      <w:marRight w:val="0"/>
      <w:marTop w:val="0"/>
      <w:marBottom w:val="0"/>
      <w:divBdr>
        <w:top w:val="none" w:sz="0" w:space="0" w:color="auto"/>
        <w:left w:val="none" w:sz="0" w:space="0" w:color="auto"/>
        <w:bottom w:val="none" w:sz="0" w:space="0" w:color="auto"/>
        <w:right w:val="none" w:sz="0" w:space="0" w:color="auto"/>
      </w:divBdr>
    </w:div>
    <w:div w:id="1445617058">
      <w:bodyDiv w:val="1"/>
      <w:marLeft w:val="0"/>
      <w:marRight w:val="0"/>
      <w:marTop w:val="0"/>
      <w:marBottom w:val="0"/>
      <w:divBdr>
        <w:top w:val="none" w:sz="0" w:space="0" w:color="auto"/>
        <w:left w:val="none" w:sz="0" w:space="0" w:color="auto"/>
        <w:bottom w:val="none" w:sz="0" w:space="0" w:color="auto"/>
        <w:right w:val="none" w:sz="0" w:space="0" w:color="auto"/>
      </w:divBdr>
    </w:div>
    <w:div w:id="1489831169">
      <w:bodyDiv w:val="1"/>
      <w:marLeft w:val="0"/>
      <w:marRight w:val="0"/>
      <w:marTop w:val="0"/>
      <w:marBottom w:val="0"/>
      <w:divBdr>
        <w:top w:val="none" w:sz="0" w:space="0" w:color="auto"/>
        <w:left w:val="none" w:sz="0" w:space="0" w:color="auto"/>
        <w:bottom w:val="none" w:sz="0" w:space="0" w:color="auto"/>
        <w:right w:val="none" w:sz="0" w:space="0" w:color="auto"/>
      </w:divBdr>
    </w:div>
    <w:div w:id="1559707926">
      <w:bodyDiv w:val="1"/>
      <w:marLeft w:val="0"/>
      <w:marRight w:val="0"/>
      <w:marTop w:val="0"/>
      <w:marBottom w:val="0"/>
      <w:divBdr>
        <w:top w:val="none" w:sz="0" w:space="0" w:color="auto"/>
        <w:left w:val="none" w:sz="0" w:space="0" w:color="auto"/>
        <w:bottom w:val="none" w:sz="0" w:space="0" w:color="auto"/>
        <w:right w:val="none" w:sz="0" w:space="0" w:color="auto"/>
      </w:divBdr>
    </w:div>
    <w:div w:id="1563447375">
      <w:bodyDiv w:val="1"/>
      <w:marLeft w:val="0"/>
      <w:marRight w:val="0"/>
      <w:marTop w:val="0"/>
      <w:marBottom w:val="0"/>
      <w:divBdr>
        <w:top w:val="none" w:sz="0" w:space="0" w:color="auto"/>
        <w:left w:val="none" w:sz="0" w:space="0" w:color="auto"/>
        <w:bottom w:val="none" w:sz="0" w:space="0" w:color="auto"/>
        <w:right w:val="none" w:sz="0" w:space="0" w:color="auto"/>
      </w:divBdr>
    </w:div>
    <w:div w:id="1575435229">
      <w:bodyDiv w:val="1"/>
      <w:marLeft w:val="0"/>
      <w:marRight w:val="0"/>
      <w:marTop w:val="0"/>
      <w:marBottom w:val="0"/>
      <w:divBdr>
        <w:top w:val="none" w:sz="0" w:space="0" w:color="auto"/>
        <w:left w:val="none" w:sz="0" w:space="0" w:color="auto"/>
        <w:bottom w:val="none" w:sz="0" w:space="0" w:color="auto"/>
        <w:right w:val="none" w:sz="0" w:space="0" w:color="auto"/>
      </w:divBdr>
    </w:div>
    <w:div w:id="1584292527">
      <w:bodyDiv w:val="1"/>
      <w:marLeft w:val="0"/>
      <w:marRight w:val="0"/>
      <w:marTop w:val="0"/>
      <w:marBottom w:val="0"/>
      <w:divBdr>
        <w:top w:val="none" w:sz="0" w:space="0" w:color="auto"/>
        <w:left w:val="none" w:sz="0" w:space="0" w:color="auto"/>
        <w:bottom w:val="none" w:sz="0" w:space="0" w:color="auto"/>
        <w:right w:val="none" w:sz="0" w:space="0" w:color="auto"/>
      </w:divBdr>
    </w:div>
    <w:div w:id="1585914135">
      <w:bodyDiv w:val="1"/>
      <w:marLeft w:val="0"/>
      <w:marRight w:val="0"/>
      <w:marTop w:val="0"/>
      <w:marBottom w:val="0"/>
      <w:divBdr>
        <w:top w:val="none" w:sz="0" w:space="0" w:color="auto"/>
        <w:left w:val="none" w:sz="0" w:space="0" w:color="auto"/>
        <w:bottom w:val="none" w:sz="0" w:space="0" w:color="auto"/>
        <w:right w:val="none" w:sz="0" w:space="0" w:color="auto"/>
      </w:divBdr>
    </w:div>
    <w:div w:id="1612590293">
      <w:bodyDiv w:val="1"/>
      <w:marLeft w:val="0"/>
      <w:marRight w:val="0"/>
      <w:marTop w:val="0"/>
      <w:marBottom w:val="0"/>
      <w:divBdr>
        <w:top w:val="none" w:sz="0" w:space="0" w:color="auto"/>
        <w:left w:val="none" w:sz="0" w:space="0" w:color="auto"/>
        <w:bottom w:val="none" w:sz="0" w:space="0" w:color="auto"/>
        <w:right w:val="none" w:sz="0" w:space="0" w:color="auto"/>
      </w:divBdr>
    </w:div>
    <w:div w:id="1612978788">
      <w:bodyDiv w:val="1"/>
      <w:marLeft w:val="0"/>
      <w:marRight w:val="0"/>
      <w:marTop w:val="0"/>
      <w:marBottom w:val="0"/>
      <w:divBdr>
        <w:top w:val="none" w:sz="0" w:space="0" w:color="auto"/>
        <w:left w:val="none" w:sz="0" w:space="0" w:color="auto"/>
        <w:bottom w:val="none" w:sz="0" w:space="0" w:color="auto"/>
        <w:right w:val="none" w:sz="0" w:space="0" w:color="auto"/>
      </w:divBdr>
    </w:div>
    <w:div w:id="1623615423">
      <w:bodyDiv w:val="1"/>
      <w:marLeft w:val="0"/>
      <w:marRight w:val="0"/>
      <w:marTop w:val="0"/>
      <w:marBottom w:val="0"/>
      <w:divBdr>
        <w:top w:val="none" w:sz="0" w:space="0" w:color="auto"/>
        <w:left w:val="none" w:sz="0" w:space="0" w:color="auto"/>
        <w:bottom w:val="none" w:sz="0" w:space="0" w:color="auto"/>
        <w:right w:val="none" w:sz="0" w:space="0" w:color="auto"/>
      </w:divBdr>
    </w:div>
    <w:div w:id="1674454572">
      <w:bodyDiv w:val="1"/>
      <w:marLeft w:val="0"/>
      <w:marRight w:val="0"/>
      <w:marTop w:val="0"/>
      <w:marBottom w:val="0"/>
      <w:divBdr>
        <w:top w:val="none" w:sz="0" w:space="0" w:color="auto"/>
        <w:left w:val="none" w:sz="0" w:space="0" w:color="auto"/>
        <w:bottom w:val="none" w:sz="0" w:space="0" w:color="auto"/>
        <w:right w:val="none" w:sz="0" w:space="0" w:color="auto"/>
      </w:divBdr>
    </w:div>
    <w:div w:id="1683849213">
      <w:bodyDiv w:val="1"/>
      <w:marLeft w:val="0"/>
      <w:marRight w:val="0"/>
      <w:marTop w:val="0"/>
      <w:marBottom w:val="0"/>
      <w:divBdr>
        <w:top w:val="none" w:sz="0" w:space="0" w:color="auto"/>
        <w:left w:val="none" w:sz="0" w:space="0" w:color="auto"/>
        <w:bottom w:val="none" w:sz="0" w:space="0" w:color="auto"/>
        <w:right w:val="none" w:sz="0" w:space="0" w:color="auto"/>
      </w:divBdr>
    </w:div>
    <w:div w:id="1763914330">
      <w:bodyDiv w:val="1"/>
      <w:marLeft w:val="0"/>
      <w:marRight w:val="0"/>
      <w:marTop w:val="0"/>
      <w:marBottom w:val="0"/>
      <w:divBdr>
        <w:top w:val="none" w:sz="0" w:space="0" w:color="auto"/>
        <w:left w:val="none" w:sz="0" w:space="0" w:color="auto"/>
        <w:bottom w:val="none" w:sz="0" w:space="0" w:color="auto"/>
        <w:right w:val="none" w:sz="0" w:space="0" w:color="auto"/>
      </w:divBdr>
    </w:div>
    <w:div w:id="1805535817">
      <w:bodyDiv w:val="1"/>
      <w:marLeft w:val="0"/>
      <w:marRight w:val="0"/>
      <w:marTop w:val="0"/>
      <w:marBottom w:val="0"/>
      <w:divBdr>
        <w:top w:val="none" w:sz="0" w:space="0" w:color="auto"/>
        <w:left w:val="none" w:sz="0" w:space="0" w:color="auto"/>
        <w:bottom w:val="none" w:sz="0" w:space="0" w:color="auto"/>
        <w:right w:val="none" w:sz="0" w:space="0" w:color="auto"/>
      </w:divBdr>
    </w:div>
    <w:div w:id="1808740505">
      <w:bodyDiv w:val="1"/>
      <w:marLeft w:val="0"/>
      <w:marRight w:val="0"/>
      <w:marTop w:val="0"/>
      <w:marBottom w:val="0"/>
      <w:divBdr>
        <w:top w:val="none" w:sz="0" w:space="0" w:color="auto"/>
        <w:left w:val="none" w:sz="0" w:space="0" w:color="auto"/>
        <w:bottom w:val="none" w:sz="0" w:space="0" w:color="auto"/>
        <w:right w:val="none" w:sz="0" w:space="0" w:color="auto"/>
      </w:divBdr>
    </w:div>
    <w:div w:id="1837763587">
      <w:bodyDiv w:val="1"/>
      <w:marLeft w:val="0"/>
      <w:marRight w:val="0"/>
      <w:marTop w:val="0"/>
      <w:marBottom w:val="0"/>
      <w:divBdr>
        <w:top w:val="none" w:sz="0" w:space="0" w:color="auto"/>
        <w:left w:val="none" w:sz="0" w:space="0" w:color="auto"/>
        <w:bottom w:val="none" w:sz="0" w:space="0" w:color="auto"/>
        <w:right w:val="none" w:sz="0" w:space="0" w:color="auto"/>
      </w:divBdr>
    </w:div>
    <w:div w:id="1841432219">
      <w:bodyDiv w:val="1"/>
      <w:marLeft w:val="0"/>
      <w:marRight w:val="0"/>
      <w:marTop w:val="0"/>
      <w:marBottom w:val="0"/>
      <w:divBdr>
        <w:top w:val="none" w:sz="0" w:space="0" w:color="auto"/>
        <w:left w:val="none" w:sz="0" w:space="0" w:color="auto"/>
        <w:bottom w:val="none" w:sz="0" w:space="0" w:color="auto"/>
        <w:right w:val="none" w:sz="0" w:space="0" w:color="auto"/>
      </w:divBdr>
    </w:div>
    <w:div w:id="1875459370">
      <w:bodyDiv w:val="1"/>
      <w:marLeft w:val="0"/>
      <w:marRight w:val="0"/>
      <w:marTop w:val="0"/>
      <w:marBottom w:val="0"/>
      <w:divBdr>
        <w:top w:val="none" w:sz="0" w:space="0" w:color="auto"/>
        <w:left w:val="none" w:sz="0" w:space="0" w:color="auto"/>
        <w:bottom w:val="none" w:sz="0" w:space="0" w:color="auto"/>
        <w:right w:val="none" w:sz="0" w:space="0" w:color="auto"/>
      </w:divBdr>
    </w:div>
    <w:div w:id="1926113428">
      <w:bodyDiv w:val="1"/>
      <w:marLeft w:val="0"/>
      <w:marRight w:val="0"/>
      <w:marTop w:val="0"/>
      <w:marBottom w:val="0"/>
      <w:divBdr>
        <w:top w:val="none" w:sz="0" w:space="0" w:color="auto"/>
        <w:left w:val="none" w:sz="0" w:space="0" w:color="auto"/>
        <w:bottom w:val="none" w:sz="0" w:space="0" w:color="auto"/>
        <w:right w:val="none" w:sz="0" w:space="0" w:color="auto"/>
      </w:divBdr>
    </w:div>
    <w:div w:id="2014457145">
      <w:bodyDiv w:val="1"/>
      <w:marLeft w:val="0"/>
      <w:marRight w:val="0"/>
      <w:marTop w:val="0"/>
      <w:marBottom w:val="0"/>
      <w:divBdr>
        <w:top w:val="none" w:sz="0" w:space="0" w:color="auto"/>
        <w:left w:val="none" w:sz="0" w:space="0" w:color="auto"/>
        <w:bottom w:val="none" w:sz="0" w:space="0" w:color="auto"/>
        <w:right w:val="none" w:sz="0" w:space="0" w:color="auto"/>
      </w:divBdr>
    </w:div>
    <w:div w:id="2065174752">
      <w:bodyDiv w:val="1"/>
      <w:marLeft w:val="0"/>
      <w:marRight w:val="0"/>
      <w:marTop w:val="0"/>
      <w:marBottom w:val="0"/>
      <w:divBdr>
        <w:top w:val="none" w:sz="0" w:space="0" w:color="auto"/>
        <w:left w:val="none" w:sz="0" w:space="0" w:color="auto"/>
        <w:bottom w:val="none" w:sz="0" w:space="0" w:color="auto"/>
        <w:right w:val="none" w:sz="0" w:space="0" w:color="auto"/>
      </w:divBdr>
    </w:div>
    <w:div w:id="2114401557">
      <w:bodyDiv w:val="1"/>
      <w:marLeft w:val="0"/>
      <w:marRight w:val="0"/>
      <w:marTop w:val="0"/>
      <w:marBottom w:val="0"/>
      <w:divBdr>
        <w:top w:val="none" w:sz="0" w:space="0" w:color="auto"/>
        <w:left w:val="none" w:sz="0" w:space="0" w:color="auto"/>
        <w:bottom w:val="none" w:sz="0" w:space="0" w:color="auto"/>
        <w:right w:val="none" w:sz="0" w:space="0" w:color="auto"/>
      </w:divBdr>
    </w:div>
    <w:div w:id="2133330145">
      <w:bodyDiv w:val="1"/>
      <w:marLeft w:val="0"/>
      <w:marRight w:val="0"/>
      <w:marTop w:val="0"/>
      <w:marBottom w:val="0"/>
      <w:divBdr>
        <w:top w:val="none" w:sz="0" w:space="0" w:color="auto"/>
        <w:left w:val="none" w:sz="0" w:space="0" w:color="auto"/>
        <w:bottom w:val="none" w:sz="0" w:space="0" w:color="auto"/>
        <w:right w:val="none" w:sz="0" w:space="0" w:color="auto"/>
      </w:divBdr>
    </w:div>
    <w:div w:id="21400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D7B70-946F-4C53-9C97-64A530DB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41</Pages>
  <Words>14602</Words>
  <Characters>78853</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CEAGESP – COMPANHIA DE ENTREPOSTOS E ARMAZÉNS GERAIS DE SÃO PAU</vt:lpstr>
    </vt:vector>
  </TitlesOfParts>
  <Company>ceagesp</Company>
  <LinksUpToDate>false</LinksUpToDate>
  <CharactersWithSpaces>93269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CEAGESP – COMPANHIA DE ENTREPOSTOS E ARMAZÉNS GERAIS DE SÃO PAU</dc:title>
  <dc:subject/>
  <dc:creator>Eliane Mayumi Tane</dc:creator>
  <cp:keywords/>
  <dc:description/>
  <cp:lastModifiedBy>Eliane Mayumi Tane</cp:lastModifiedBy>
  <cp:revision>5</cp:revision>
  <cp:lastPrinted>2020-05-26T12:01:00Z</cp:lastPrinted>
  <dcterms:created xsi:type="dcterms:W3CDTF">2020-05-26T11:55:00Z</dcterms:created>
  <dcterms:modified xsi:type="dcterms:W3CDTF">2020-05-26T12:03:00Z</dcterms:modified>
</cp:coreProperties>
</file>